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Sheinerman Kira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VILLAGE BOULEVARD,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Niki BioSolutions, Inc.</w:t>
              </w:r>
            </w:hyperlink>
            <w:r>
              <w:rPr/>
              <w:t xml:space="preserve"> [ </w:t>
            </w:r>
            <w:r>
              <w:rPr>
                <w:rFonts w:ascii="Times;serif" w:hAnsi="Times;serif"/>
                <w:color w:val="0000FF"/>
                <w:sz w:val="24"/>
                <w:shd w:fill="FFFFFF" w:val="clear"/>
              </w:rPr>
              <w:t>NIKI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as follows: (i) 2,000 options vested immediately upon the closing of the merger; and (ii) the remaining 6,000 options vest in three equal quarterly installments of 2,000 options each, commencing on the first business day of the first full quarter following the effective date of the merger.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Kira S. Sheinerman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8091" TargetMode="External"/><Relationship Id="rId5" Type="http://schemas.openxmlformats.org/officeDocument/2006/relationships/hyperlink" Target="http://www.sec.gov/cgi-bin/browse-edgar?action=getcompany&amp;CIK=00017340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3339</Characters>
  <CharactersWithSpaces>3885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