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262-8k_nikibio.htm"/>
      <w:bookmarkStart w:id="1" w:name="ksea02982628k_nikibio"/>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9_edei--EntityFileNumber_c20260720"/>
            <w:bookmarkEnd w:id="6"/>
            <w:r>
              <w:rPr>
                <w:b/>
              </w:rPr>
              <w:t>001-38764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A_edei--EntityTaxIdentificationNum"/>
            <w:bookmarkEnd w:id="7"/>
            <w:r>
              <w:rPr>
                <w:b/>
              </w:rPr>
              <w:t>42-3265309</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5870" w:type="dxa"/>
        <w:jc w:val="left"/>
        <w:tblInd w:w="0" w:type="dxa"/>
        <w:tblLayout w:type="fixed"/>
        <w:tblCellMar>
          <w:top w:w="0" w:type="dxa"/>
          <w:left w:w="0" w:type="dxa"/>
          <w:bottom w:w="0" w:type="dxa"/>
          <w:right w:w="0" w:type="dxa"/>
        </w:tblCellMar>
      </w:tblPr>
      <w:tblGrid>
        <w:gridCol w:w="75"/>
        <w:gridCol w:w="5720"/>
        <w:gridCol w:w="75"/>
      </w:tblGrid>
      <w:tr>
        <w:trPr/>
        <w:tc>
          <w:tcPr>
            <w:tcW w:w="75" w:type="dxa"/>
            <w:tcBorders/>
            <w:vAlign w:val="center"/>
          </w:tcPr>
          <w:p>
            <w:pPr>
              <w:pStyle w:val="TableContents"/>
              <w:bidi w:val="0"/>
              <w:spacing w:before="0" w:after="283"/>
              <w:jc w:val="center"/>
              <w:rPr/>
            </w:pPr>
            <w:r>
              <w:rPr/>
              <w:t> </w:t>
            </w:r>
          </w:p>
        </w:tc>
        <w:tc>
          <w:tcPr>
            <w:tcW w:w="5720" w:type="dxa"/>
            <w:tcBorders>
              <w:bottom w:val="single" w:sz="12" w:space="0" w:color="000000"/>
            </w:tcBorders>
            <w:tcMar>
              <w:bottom w:w="28" w:type="dxa"/>
            </w:tcMar>
            <w:vAlign w:val="center"/>
          </w:tcPr>
          <w:p>
            <w:pPr>
              <w:pStyle w:val="TableContents"/>
              <w:bidi w:val="0"/>
              <w:spacing w:before="0" w:after="283"/>
              <w:jc w:val="center"/>
              <w:rPr/>
            </w:pPr>
            <w:bookmarkStart w:id="8" w:name="xdx_909_edei--EntityAddressAddressLine1_"/>
            <w:bookmarkEnd w:id="8"/>
            <w:r>
              <w:rPr>
                <w:b/>
              </w:rPr>
              <w:t xml:space="preserve">116 Village Boulevard, </w:t>
            </w:r>
            <w:bookmarkStart w:id="9" w:name="xdx_909_edei--EntityAddressAddressLine2_"/>
            <w:bookmarkEnd w:id="9"/>
            <w:r>
              <w:rPr>
                <w:b/>
              </w:rPr>
              <w:t xml:space="preserve">Suite 200, </w:t>
            </w:r>
            <w:bookmarkStart w:id="10" w:name="xdx_909_edei--EntityAddressCityOrTown_c2"/>
            <w:bookmarkEnd w:id="10"/>
            <w:r>
              <w:rPr>
                <w:b/>
              </w:rPr>
              <w:t xml:space="preserve">Princeton, </w:t>
            </w:r>
            <w:bookmarkStart w:id="11" w:name="xdx_902_edei--EntityAddressStateOrProvin"/>
            <w:bookmarkEnd w:id="11"/>
            <w:r>
              <w:rPr>
                <w:b/>
              </w:rPr>
              <w:t>NJ</w:t>
            </w:r>
            <w:r>
              <w:rPr/>
              <w:t xml:space="preserve"> </w:t>
            </w:r>
            <w:bookmarkStart w:id="12" w:name="xdx_909_edei--EntityAddressPostalZipCode"/>
            <w:bookmarkEnd w:id="12"/>
            <w:r>
              <w:rPr>
                <w:b/>
              </w:rPr>
              <w:t>08540</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5720" w:type="dxa"/>
            <w:tcBorders/>
            <w:vAlign w:val="center"/>
          </w:tcPr>
          <w:p>
            <w:pPr>
              <w:pStyle w:val="TableContents"/>
              <w:bidi w:val="0"/>
              <w:spacing w:before="0" w:after="283"/>
              <w:jc w:val="center"/>
              <w:rPr/>
            </w:pPr>
            <w:r>
              <w:rPr/>
              <w:t>(Address of Principal Executive Offices, including 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720__20"/>
      <w:bookmarkEnd w:id="13"/>
      <w:r>
        <w:rPr>
          <w:rFonts w:ascii="Times New Roman;Times;Serif" w:hAnsi="Times New Roman;Times;Serif"/>
          <w:b w:val="false"/>
          <w:i w:val="false"/>
          <w:caps w:val="false"/>
          <w:smallCaps w:val="false"/>
          <w:sz w:val="20"/>
        </w:rPr>
        <w:t>609-</w:t>
      </w:r>
      <w:bookmarkStart w:id="14" w:name="xdx_90C_edei--LocalPhoneNumber_c20260720"/>
      <w:bookmarkEnd w:id="14"/>
      <w:r>
        <w:rPr>
          <w:rFonts w:ascii="Times New Roman;Times;Serif" w:hAnsi="Times New Roman;Times;Serif"/>
          <w:b w:val="false"/>
          <w:i w:val="false"/>
          <w:caps w:val="false"/>
          <w:smallCaps w:val="false"/>
          <w:sz w:val="20"/>
        </w:rPr>
        <w:t>951-2222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5" w:name="xdx_902_edei--EntityRegistrantName_c2026"/>
      <w:bookmarkEnd w:id="15"/>
      <w:r>
        <w:rPr>
          <w:rFonts w:ascii="Times New Roman;Times;Serif" w:hAnsi="Times New Roman;Times;Serif"/>
          <w:b w:val="false"/>
          <w:i w:val="false"/>
          <w:caps w:val="false"/>
          <w:smallCaps w:val="false"/>
          <w:sz w:val="20"/>
        </w:rPr>
        <w:t>Aptorum Group Limited</w:t>
      </w:r>
    </w:p>
    <w:p>
      <w:pPr>
        <w:pStyle w:val="TextBody"/>
        <w:bidi w:val="0"/>
        <w:spacing w:before="0" w:after="0"/>
        <w:jc w:val="center"/>
        <w:rPr>
          <w:rFonts w:ascii="Times New Roman;Times;Serif" w:hAnsi="Times New Roman;Times;Serif"/>
          <w:b w:val="false"/>
          <w:i w:val="false"/>
          <w:caps w:val="false"/>
          <w:smallCaps w:val="false"/>
          <w:sz w:val="20"/>
        </w:rPr>
      </w:pPr>
      <w:bookmarkStart w:id="16" w:name="xdx_909_edei--EntityAddressAddressLine1_"/>
      <w:bookmarkEnd w:id="16"/>
      <w:r>
        <w:rPr>
          <w:rFonts w:ascii="Times New Roman;Times;Serif" w:hAnsi="Times New Roman;Times;Serif"/>
          <w:b w:val="false"/>
          <w:i w:val="false"/>
          <w:caps w:val="false"/>
          <w:smallCaps w:val="false"/>
          <w:sz w:val="20"/>
        </w:rPr>
        <w:t>17 Hanover Square</w:t>
      </w:r>
    </w:p>
    <w:p>
      <w:pPr>
        <w:pStyle w:val="TextBody"/>
        <w:bidi w:val="0"/>
        <w:spacing w:before="0" w:after="0"/>
        <w:jc w:val="center"/>
        <w:rPr>
          <w:rFonts w:ascii="Times New Roman;Times;Serif" w:hAnsi="Times New Roman;Times;Serif"/>
          <w:b w:val="false"/>
          <w:i w:val="false"/>
          <w:caps w:val="false"/>
          <w:smallCaps w:val="false"/>
          <w:sz w:val="20"/>
        </w:rPr>
      </w:pPr>
      <w:bookmarkStart w:id="17" w:name="xdx_903_edei--EntityAddressCityOrTown_c2"/>
      <w:bookmarkEnd w:id="17"/>
      <w:r>
        <w:rPr>
          <w:rFonts w:ascii="Times New Roman;Times;Serif" w:hAnsi="Times New Roman;Times;Serif"/>
          <w:b w:val="false"/>
          <w:i w:val="false"/>
          <w:caps w:val="false"/>
          <w:smallCaps w:val="false"/>
          <w:sz w:val="20"/>
        </w:rPr>
        <w:t xml:space="preserve">London </w:t>
      </w:r>
      <w:bookmarkStart w:id="18" w:name="xdx_90D_edei--EntityAddressPostalZipCode"/>
      <w:bookmarkEnd w:id="18"/>
      <w:r>
        <w:rPr>
          <w:rFonts w:ascii="Times New Roman;Times;Serif" w:hAnsi="Times New Roman;Times;Serif"/>
          <w:b w:val="false"/>
          <w:i w:val="false"/>
          <w:caps w:val="false"/>
          <w:smallCaps w:val="false"/>
          <w:sz w:val="20"/>
        </w:rPr>
        <w:t xml:space="preserve">W1S 1BN, </w:t>
      </w:r>
      <w:bookmarkStart w:id="19" w:name="xdx_90A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20" w:name="xdx_907_edei--WrittenCommunications_c202"/>
            <w:bookmarkEnd w:id="20"/>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1" w:name="xdx_90A_edei--SolicitingMaterial_c202607"/>
            <w:bookmarkEnd w:id="21"/>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D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3" w:name="xdx_90A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4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24" w:name="xdx_902_edei--Security12bTitle_c20260720"/>
            <w:bookmarkEnd w:id="24"/>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25" w:name="xdx_904_edei--TradingSymbol_c20260720__2"/>
            <w:bookmarkEnd w:id="25"/>
            <w:r>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r>
              <w:rPr/>
              <w:t xml:space="preserve">The </w:t>
            </w:r>
            <w:bookmarkStart w:id="26" w:name="xdx_905_edei--SecurityExchangeName_c2026"/>
            <w:bookmarkEnd w:id="26"/>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2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in this Current Report on Form 8-K (this “Report”) but not defined herein, or for which definitions are not otherwise incorporated by reference herein, shall have the meaning given to such terms in the definitive proxy statement/prospectus (as supplemented or amended, the “Proxy Statement/Prospectus”), originally filed pursuant to Rule 424(b)(3) with the Securities and Exchange Commission (the “SEC”) on October 6, 2025, by Aptorum Group Limited, a Cayman Islands exempted company with limited liability (“Aptorum”), and which forms a part of the Registration Statement on Form S-4 (Registration No. 333-290742), which the SEC declared effective on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and as described in the sections titled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Domestication Proposal</w:t>
      </w:r>
      <w:r>
        <w:rPr>
          <w:rFonts w:ascii="Times New Roman;Times;Serif" w:hAnsi="Times New Roman;Times;Serif"/>
          <w:b w:val="false"/>
          <w:i w:val="false"/>
          <w:caps w:val="false"/>
          <w:smallCaps w:val="false"/>
          <w:sz w:val="20"/>
        </w:rPr>
        <w:t xml:space="preserve">” of the Proxy Statement/Prospectus,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 In connection with the name change, the CUSIP number for the Niki Common Stock is </w:t>
      </w:r>
      <w:r>
        <w:rPr>
          <w:rFonts w:ascii="Times New Roman;Times;Serif" w:hAnsi="Times New Roman;Times;Serif"/>
          <w:b w:val="false"/>
          <w:i/>
          <w:caps w:val="false"/>
          <w:smallCaps w:val="false"/>
          <w:sz w:val="20"/>
        </w:rPr>
        <w:t>653942 102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Niki’s common stock, par value $0.0001 per share (the “Niki Common Stock”), and each then issued and outstanding Class B ordinary share of Aptorum converted automatically into a share of Niki Common Stock and a share of Niki’s non-voting and non-convertible Series A preferred stock (the “Series A Preferred Stock”). Accordingly, a total of 814,375 shares of Niki Common Stock and 179,693 shares of Series A Preferred Stock, respectively, were issued to Aptorum’s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DiamiR’s common stock were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 (3/7). Accordingly, a total of 1,979,216 shares of Niki Common Stock were issued to current stockholders of DiamiR; no shares of Series A Preferred Stock was issued to any current DiamiR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and as described in the section titled “</w:t>
      </w:r>
      <w:r>
        <w:rPr>
          <w:rFonts w:ascii="Times New Roman;Times;Serif" w:hAnsi="Times New Roman;Times;Serif"/>
          <w:b w:val="false"/>
          <w:i/>
          <w:caps w:val="false"/>
          <w:smallCaps w:val="false"/>
          <w:sz w:val="20"/>
        </w:rPr>
        <w:t>The SIP</w:t>
      </w:r>
      <w:r>
        <w:rPr>
          <w:rFonts w:ascii="Times New Roman;Times;Serif" w:hAnsi="Times New Roman;Times;Serif"/>
          <w:b w:val="false"/>
          <w:i w:val="false"/>
          <w:caps w:val="false"/>
          <w:smallCaps w:val="false"/>
          <w:sz w:val="20"/>
        </w:rPr>
        <w:t>” of the Proxy Statement/Prospectus, Niki also adopted, as approved by the requisite shareholder votes, the 2026 Incentive Plan (referred to as the 2025 Incentive Plan in the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Aptorum (“Aptorum Therapeutics”), entered into a management services agreement (as amended, the “Management Services Agreement”), which terminated as of the closing of the transaction contemplated by the Merger Agreement. In addition, concurrently with the execution of the Merger Agreement, DiamiR, DiamiR, LLC, a wholly owned subsidiary of DiamiR, Aptorum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July 31, 2026, and therefore it terminated as of the Closing. The parties also entered into a Voting and Support Agreement, as well as a Stockholder Agreement (collectively with the Management Services Agreement and Licensing Agreement, the “Transaction Documents”), pursuant to which certain parties agreed to vote in favor of certain corporate actions. The final form of Stockholder Agreement is filed as Exhibit 10.4 hereto; it includes a reduction in the ownership percentage required to be a signatory thereto after further negotiations between the parties. Reference is made to the section of the Proxy Statement/Prospectus titled “</w:t>
      </w:r>
      <w:r>
        <w:rPr>
          <w:rFonts w:ascii="Times New Roman;Times;Serif" w:hAnsi="Times New Roman;Times;Serif"/>
          <w:b w:val="false"/>
          <w:i/>
          <w:caps w:val="false"/>
          <w:smallCaps w:val="false"/>
          <w:sz w:val="20"/>
        </w:rPr>
        <w:t>Related Agreements</w:t>
      </w:r>
      <w:r>
        <w:rPr>
          <w:rFonts w:ascii="Times New Roman;Times;Serif" w:hAnsi="Times New Roman;Times;Serif"/>
          <w:b w:val="false"/>
          <w:i w:val="false"/>
          <w:caps w:val="false"/>
          <w:smallCaps w:val="false"/>
          <w:sz w:val="20"/>
        </w:rPr>
        <w:t>” beginning on page 6,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foregoing description of the Merger Agreement, Transaction Documents, </w:t>
      </w:r>
      <w:r>
        <w:rPr>
          <w:rFonts w:ascii="Times New Roman;Times;Serif" w:hAnsi="Times New Roman;Times;Serif"/>
          <w:b w:val="false"/>
          <w:i w:val="false"/>
          <w:caps w:val="false"/>
          <w:smallCaps w:val="false"/>
          <w:sz w:val="20"/>
        </w:rPr>
        <w:t xml:space="preserve">Certificate of Incorporation, Bylaws, and 2026 Incentive Plan </w:t>
      </w:r>
      <w:r>
        <w:rPr>
          <w:rFonts w:ascii="Times New Roman;Times;Serif" w:hAnsi="Times New Roman;Times;Serif"/>
          <w:b w:val="false"/>
          <w:i w:val="false"/>
          <w:caps w:val="false"/>
          <w:smallCaps w:val="false"/>
          <w:sz w:val="20"/>
          <w:shd w:fill="FFFFFF" w:val="clear"/>
        </w:rPr>
        <w:t>do not purport to be complete and is qualified in its entirety by reference to the Merger Agreement and Transaction Documents, each of which are attached hereto as exhibits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individuals who will serve as directors of Niki.</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28" w:type="dxa"/>
          <w:right w:w="0" w:type="dxa"/>
        </w:tblCellMar>
      </w:tblPr>
      <w:tblGrid>
        <w:gridCol w:w="1715"/>
        <w:gridCol w:w="60"/>
        <w:gridCol w:w="1760"/>
      </w:tblGrid>
      <w:tr>
        <w:trPr/>
        <w:tc>
          <w:tcPr>
            <w:tcW w:w="17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both"/>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Kira Sheinerman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both"/>
              <w:rPr/>
            </w:pPr>
            <w:r>
              <w:rPr/>
              <w:t>Director</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Wu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Arner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Laura A. Philips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Alidad Mireskandari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Board Observer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Modifications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2.01 of this Current Report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20, 2026, Aptorum effectuated a 10 for 1 share consolidation of its authorized share capital, such that every 10 Class A Ordinary Shares, par value of US$0.00001 per share, in the authorized share capital of Aptorum (including issued and unissued share capital) be consolidated into 1 Class A Ordinary Share, par value of US$0.0001 per share, and that every 10 Class B Ordinary Shares, par value of US$0.00001 per share in the authorized share capital of Aptorum (including issued and unissued share capital) be consolidated into 1 Class B Ordinary Share, par value of US$0.0001 per share (the “Share Consolidation” or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was approved by the Company’s shareholders on June 9, 2026 and Aptorum’s board of directors approved implementing the Reverse Split effective as of July 20, 2026. Accordingly, the Reverse Split was effective and the Class A Ordinary Shares began trading on a split-adjusted basis when the market opened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Share Consolidation, Aptorum had 6,346,823 Class A Ordinary Shares outstanding and 1,796,934 Class B Ordinary Shares outstanding. Following the Share Consolidation, there are 634,682 Class A Ordinary Shares outstanding and 179,693 Class B Ordinary Shares outstanding (these numbers are based on the current number of shares outstanding and are subject to change, in either direction, once the Reverse Split is effected on an individual basis). As a result of the Reverse Split, the Company’s authorized share capital was US$100,000,000 divided into 999,999,600 Class A Ordinary Shares with a par value of US$0.0001 each and 400,000 Class B Ordinary Shares with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a set of Bylaws. The material terms of the Company’s Certificate of Incorporation and Bylaws and the general effect upon the rights of holders of Niki Common Stock are discussed in the Proxy Statement/Prospectus in the section titled “</w:t>
      </w:r>
      <w:r>
        <w:rPr>
          <w:rFonts w:ascii="Times New Roman;Times;Serif" w:hAnsi="Times New Roman;Times;Serif"/>
          <w:b w:val="false"/>
          <w:i/>
          <w:caps w:val="false"/>
          <w:smallCaps w:val="false"/>
          <w:sz w:val="20"/>
        </w:rPr>
        <w:t>The Domestication Proposal</w:t>
      </w:r>
      <w:r>
        <w:rPr>
          <w:rFonts w:ascii="Times New Roman;Times;Serif" w:hAnsi="Times New Roman;Times;Serif"/>
          <w:b w:val="false"/>
          <w:i w:val="false"/>
          <w:caps w:val="false"/>
          <w:smallCaps w:val="false"/>
          <w:sz w:val="20"/>
        </w:rPr>
        <w:t>” beginning on page 106, which is incorporated herein by reference. Reference is also made to the sections of the Proxy Statement/Prospectus titled “</w:t>
      </w:r>
      <w:r>
        <w:rPr>
          <w:rFonts w:ascii="Times New Roman;Times;Serif" w:hAnsi="Times New Roman;Times;Serif"/>
          <w:b w:val="false"/>
          <w:i/>
          <w:caps w:val="false"/>
          <w:smallCaps w:val="false"/>
          <w:sz w:val="20"/>
        </w:rPr>
        <w:t>Description of Share Capital – Aptorum Delaware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beginning on pages 255 and 257 respectively, which are incorporated herein by reference. Reference is also made to the sections of the Proxy Statement/Prospectus titled “</w:t>
      </w:r>
      <w:r>
        <w:rPr>
          <w:rFonts w:ascii="Times New Roman;Times;Serif" w:hAnsi="Times New Roman;Times;Serif"/>
          <w:b w:val="false"/>
          <w:i/>
          <w:caps w:val="false"/>
          <w:smallCaps w:val="false"/>
          <w:sz w:val="20"/>
        </w:rPr>
        <w:t>Proposal No. 1 - Share Consolidation Proposal</w:t>
      </w:r>
      <w:r>
        <w:rPr>
          <w:rFonts w:ascii="Times New Roman;Times;Serif" w:hAnsi="Times New Roman;Times;Serif"/>
          <w:b w:val="false"/>
          <w:i w:val="false"/>
          <w:caps w:val="false"/>
          <w:smallCaps w:val="false"/>
          <w:sz w:val="20"/>
        </w:rPr>
        <w:t>” beginning on page 102,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2.01 of this Current Report on Form 8-K is incorporated by reference into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2.01 and 3.03 of this Current Report on Form 8-K is incorporated by reference into this Item 5.03.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designation of the preferences, rights and limitations creating the Series A Preferred Stock was filed with the Secretary of the State of Delaware, to be effective as of the Closing Date (the “Series A COD”).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Series A COD, the Company designated 1,810,000 shares of preferred stock as Series A Preferred Stock, par value of $0.0001 per share. The holders of Series A Preferred Stock do not have any voting rights and shares of Series A Preferred Stock are not convertible. The Series A Preferred Stock is not redeemable. Upon the completion of a distribution pursuant to a sale or other disposition of all or substantially all of Niki’s assets, certain mergers, consolidations and transfers of securities, and any liquidation, dissolution or winding up of Niki,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Series A COD is qualified by reference to the full text of the certificate of designation, a copy of which is attached hereto as Exhibit 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Aptorum distributed a press release announcing the Merger and related actions. A copy of the press release is attached as Exhibit 99.1 to this Current Report on Form 8-K and is hereby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shall not constitute an offer to sell or the solicitation of an offer to buy, nor shall there be any sale of the securities of Aptorum or DiamiR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Financial Statements of Businesses or Funds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financial statements required by Item 9.01(a) of Form 8-K will be filed by amendment to this Current Report on Form 8-K no later than 71 days after the date this report on Form 8-K must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 Forma Financial Information.</w:t>
      </w:r>
    </w:p>
    <w:p>
      <w:pPr>
        <w:pStyle w:val="TextBody"/>
        <w:bidi w:val="0"/>
        <w:spacing w:before="0" w:after="0"/>
        <w:ind w:left="720" w:right="0" w:hanging="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required by Item 9.01(b) of Form 8-K will be filed by amendment to this Current Report on Form 8-K no later than 71 days after the date this report on Form 8-K must be filed.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785"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2">
              <w:r>
                <w:rPr>
                  <w:rStyle w:val="InternetLink"/>
                </w:rPr>
                <w:t>Merger Agreement by and between Aptorum and DiamiR, dated July 14, 2025 (1)</w:t>
              </w:r>
            </w:hyperlink>
          </w:p>
        </w:tc>
      </w:tr>
      <w:tr>
        <w:trPr/>
        <w:tc>
          <w:tcPr>
            <w:tcW w:w="785"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w:anchor="ea029826201ex3-1.htm">
              <w:r>
                <w:rPr>
                  <w:rStyle w:val="InternetLink"/>
                </w:rPr>
                <w:t>Articles of Incorporation for Niki BioSolutions, Inc. (Filed herewith)</w:t>
              </w:r>
            </w:hyperlink>
          </w:p>
        </w:tc>
      </w:tr>
      <w:tr>
        <w:trPr/>
        <w:tc>
          <w:tcPr>
            <w:tcW w:w="785" w:type="dxa"/>
            <w:tcBorders/>
            <w:shd w:fill="CCEEFF" w:val="clear"/>
            <w:tcMar>
              <w:bottom w:w="0" w:type="dxa"/>
            </w:tcMar>
            <w:vAlign w:val="center"/>
          </w:tcPr>
          <w:p>
            <w:pPr>
              <w:pStyle w:val="TableContents"/>
              <w:bidi w:val="0"/>
              <w:spacing w:before="0" w:after="283"/>
              <w:jc w:val="left"/>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29826201ex3-2.htm">
              <w:r>
                <w:rPr>
                  <w:rStyle w:val="InternetLink"/>
                </w:rPr>
                <w:t>Form of Bylaws for Niki BioSolutions, Inc. (Filed herewith)</w:t>
              </w:r>
            </w:hyperlink>
          </w:p>
        </w:tc>
      </w:tr>
      <w:tr>
        <w:trPr/>
        <w:tc>
          <w:tcPr>
            <w:tcW w:w="785"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w:anchor="ea029826201ex3-3.htm">
              <w:r>
                <w:rPr>
                  <w:rStyle w:val="InternetLink"/>
                </w:rPr>
                <w:t>Certificate of designation of the preferences, rights and limitations creating the Series A Preferred Stock (Filed herewith)</w:t>
              </w:r>
            </w:hyperlink>
          </w:p>
        </w:tc>
      </w:tr>
      <w:tr>
        <w:trPr/>
        <w:tc>
          <w:tcPr>
            <w:tcW w:w="785"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3">
              <w:r>
                <w:rPr>
                  <w:rStyle w:val="InternetLink"/>
                </w:rPr>
                <w:t>Management Services Agreement by and between Aptorum Therapeutics and DiamiR, dated July 14, 2025 (1)</w:t>
              </w:r>
            </w:hyperlink>
          </w:p>
        </w:tc>
      </w:tr>
      <w:tr>
        <w:trPr/>
        <w:tc>
          <w:tcPr>
            <w:tcW w:w="785"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r:id="rId4">
              <w:r>
                <w:rPr>
                  <w:rStyle w:val="InternetLink"/>
                </w:rPr>
                <w:t>Intellectual Property License Agreement by and between Aptorum Therapeutics, DiamiR LLC, and DiamiR, dated July 14, 2025 (1)</w:t>
              </w:r>
            </w:hyperlink>
          </w:p>
        </w:tc>
      </w:tr>
      <w:tr>
        <w:trPr/>
        <w:tc>
          <w:tcPr>
            <w:tcW w:w="785"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5">
              <w:r>
                <w:rPr>
                  <w:rStyle w:val="InternetLink"/>
                </w:rPr>
                <w:t>Voting and Support Agreement by and between Aptorum and its major shareholder, dated July 14, 2025 (1)</w:t>
              </w:r>
            </w:hyperlink>
          </w:p>
        </w:tc>
      </w:tr>
      <w:tr>
        <w:trPr/>
        <w:tc>
          <w:tcPr>
            <w:tcW w:w="78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w:anchor="ea029826201ex10-4.htm">
              <w:r>
                <w:rPr>
                  <w:rStyle w:val="InternetLink"/>
                </w:rPr>
                <w:t>Form of Stockholders Agreement (Filed herewith)</w:t>
              </w:r>
            </w:hyperlink>
            <w:r>
              <w:rPr/>
              <w:t xml:space="preserve"> </w:t>
            </w:r>
          </w:p>
        </w:tc>
      </w:tr>
      <w:tr>
        <w:trPr/>
        <w:tc>
          <w:tcPr>
            <w:tcW w:w="785"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6">
              <w:r>
                <w:rPr>
                  <w:rStyle w:val="InternetLink"/>
                </w:rPr>
                <w:t>Amendment to the Management Services Agreement dated as of December 2, 2025 (2)</w:t>
              </w:r>
            </w:hyperlink>
          </w:p>
        </w:tc>
      </w:tr>
      <w:tr>
        <w:trPr/>
        <w:tc>
          <w:tcPr>
            <w:tcW w:w="78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r:id="rId7">
              <w:r>
                <w:rPr>
                  <w:rStyle w:val="InternetLink"/>
                </w:rPr>
                <w:t>Second Amendment to the Management Services Agreement dated as of March 10, 2026 (3)</w:t>
              </w:r>
            </w:hyperlink>
          </w:p>
        </w:tc>
      </w:tr>
      <w:tr>
        <w:trPr/>
        <w:tc>
          <w:tcPr>
            <w:tcW w:w="785" w:type="dxa"/>
            <w:tcBorders/>
            <w:shd w:fill="CCEEFF" w:val="clear"/>
            <w:tcMar>
              <w:bottom w:w="0" w:type="dxa"/>
            </w:tcMar>
            <w:vAlign w:val="center"/>
          </w:tcPr>
          <w:p>
            <w:pPr>
              <w:pStyle w:val="TableContents"/>
              <w:bidi w:val="0"/>
              <w:spacing w:before="0" w:after="283"/>
              <w:jc w:val="left"/>
              <w:rPr/>
            </w:pPr>
            <w:r>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r:id="rId8">
              <w:r>
                <w:rPr>
                  <w:rStyle w:val="InternetLink"/>
                </w:rPr>
                <w:t>Third Amendment to the Management Services Agreement dated as of June 22, 2026 (4)</w:t>
              </w:r>
            </w:hyperlink>
          </w:p>
        </w:tc>
      </w:tr>
      <w:tr>
        <w:trPr/>
        <w:tc>
          <w:tcPr>
            <w:tcW w:w="785"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w:anchor="ea029826201ex99-1.htm">
              <w:r>
                <w:rPr>
                  <w:rStyle w:val="InternetLink"/>
                </w:rPr>
                <w:t>Press Release (Filed herewith)</w:t>
              </w:r>
            </w:hyperlink>
          </w:p>
        </w:tc>
      </w:tr>
      <w:tr>
        <w:trPr/>
        <w:tc>
          <w:tcPr>
            <w:tcW w:w="785"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29826201ex99-2.htm">
              <w:r>
                <w:rPr>
                  <w:rStyle w:val="InternetLink"/>
                </w:rPr>
                <w:t>2026 Incentive Plan (Filed herewith)</w:t>
              </w:r>
            </w:hyperlink>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schedules have been omitted pursuant to Item 601(a)(5) of Regulation S-K. A copy of any omitted schedule will be furnished to the SEC upon request.</w:t>
            </w:r>
          </w:p>
        </w:tc>
      </w:tr>
    </w:tbl>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305"/>
        <w:gridCol w:w="7970"/>
      </w:tblGrid>
      <w:tr>
        <w:trPr/>
        <w:tc>
          <w:tcPr>
            <w:tcW w:w="305" w:type="dxa"/>
            <w:tcBorders/>
            <w:vAlign w:val="center"/>
          </w:tcPr>
          <w:p>
            <w:pPr>
              <w:pStyle w:val="TableContents"/>
              <w:bidi w:val="0"/>
              <w:spacing w:before="0" w:after="283"/>
              <w:jc w:val="left"/>
              <w:rPr/>
            </w:pPr>
            <w:r>
              <w:rPr/>
              <w:t>(1)</w:t>
            </w:r>
          </w:p>
        </w:tc>
        <w:tc>
          <w:tcPr>
            <w:tcW w:w="7970" w:type="dxa"/>
            <w:tcBorders/>
            <w:vAlign w:val="center"/>
          </w:tcPr>
          <w:p>
            <w:pPr>
              <w:pStyle w:val="TableContents"/>
              <w:bidi w:val="0"/>
              <w:spacing w:before="0" w:after="283"/>
              <w:jc w:val="both"/>
              <w:rPr/>
            </w:pPr>
            <w:r>
              <w:rPr/>
              <w:t>Incorporated by reference to the Current Report on Form 6-K filed on July 22, 2025</w:t>
            </w:r>
          </w:p>
        </w:tc>
      </w:tr>
    </w:tbl>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(2)</w:t>
            </w:r>
          </w:p>
        </w:tc>
        <w:tc>
          <w:tcPr>
            <w:tcW w:w="8675" w:type="dxa"/>
            <w:tcBorders/>
            <w:vAlign w:val="center"/>
          </w:tcPr>
          <w:p>
            <w:pPr>
              <w:pStyle w:val="TableContents"/>
              <w:bidi w:val="0"/>
              <w:spacing w:before="0" w:after="283"/>
              <w:jc w:val="both"/>
              <w:rPr/>
            </w:pPr>
            <w:r>
              <w:rPr/>
              <w:t>Incorporated by reference to the Current Report on Form 6-K/A filed on December 5, 2025</w:t>
            </w:r>
          </w:p>
        </w:tc>
      </w:tr>
    </w:tbl>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(3)</w:t>
            </w:r>
          </w:p>
        </w:tc>
        <w:tc>
          <w:tcPr>
            <w:tcW w:w="8435" w:type="dxa"/>
            <w:tcBorders/>
            <w:vAlign w:val="center"/>
          </w:tcPr>
          <w:p>
            <w:pPr>
              <w:pStyle w:val="TableContents"/>
              <w:bidi w:val="0"/>
              <w:spacing w:before="0" w:after="283"/>
              <w:jc w:val="both"/>
              <w:rPr/>
            </w:pPr>
            <w:r>
              <w:rPr/>
              <w:t>Incorporated by reference to the Current Report on Form 6-K/A filed on March 26, 2026</w:t>
            </w:r>
          </w:p>
        </w:tc>
      </w:tr>
    </w:tbl>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(4)</w:t>
            </w:r>
          </w:p>
        </w:tc>
        <w:tc>
          <w:tcPr>
            <w:tcW w:w="8255" w:type="dxa"/>
            <w:tcBorders/>
            <w:vAlign w:val="center"/>
          </w:tcPr>
          <w:p>
            <w:pPr>
              <w:pStyle w:val="TableContents"/>
              <w:bidi w:val="0"/>
              <w:spacing w:before="0" w:after="283"/>
              <w:jc w:val="both"/>
              <w:rPr/>
            </w:pPr>
            <w:r>
              <w:rPr/>
              <w:t>Incorporated by reference to the Current Report on Form 6-K/A filed on June 22,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20,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25"/>
        <w:gridCol w:w="2684"/>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rPr>
            </w:pPr>
            <w:r>
              <w:rPr>
                <w:b/>
              </w:rPr>
              <w:t>NIKI BIOSOLUTIONS, INC.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2684" w:type="dxa"/>
            <w:tcBorders>
              <w:bottom w:val="single" w:sz="12" w:space="0" w:color="000000"/>
            </w:tcBorders>
            <w:tcMar>
              <w:bottom w:w="28" w:type="dxa"/>
            </w:tcMar>
            <w:vAlign w:val="center"/>
          </w:tcPr>
          <w:p>
            <w:pPr>
              <w:pStyle w:val="TableContents"/>
              <w:bidi w:val="0"/>
              <w:spacing w:before="0" w:after="283"/>
              <w:jc w:val="left"/>
              <w:rPr>
                <w:i/>
              </w:rPr>
            </w:pPr>
            <w:r>
              <w:rPr>
                <w:i/>
              </w:rPr>
              <w:t>/s/ 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jc w:val="both"/>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29826201ex3-1.htm"/>
      <w:bookmarkStart w:id="29" w:name="ksea029826201ex31"/>
      <w:bookmarkEnd w:id="28"/>
      <w:bookmarkEnd w:id="29"/>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br/>
        <w:t>OF</w:t>
        <w:b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102 of the</w:t>
        <w:br/>
        <w:t>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for the purposes of forming a corporation under the laws of the State of Delaware, does make, file and record this Certificate of Incorporation, and does hereby certify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this corporation is Niki BioSolutions,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registered office of this Corporation in the State of Delaware is 108 W. 13th Street, Suite 100, Wilmington, New Castle County, DE 19801. The name of its registered agent at such address is Vcorp Agent Services,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Delaware General Corporation Law, as amended from time to time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Authorization of Stock.</w:t>
      </w:r>
      <w:r>
        <w:rPr>
          <w:rFonts w:ascii="Times New Roman;Times;Serif" w:hAnsi="Times New Roman;Times;Serif"/>
          <w:b w:val="false"/>
          <w:i w:val="false"/>
          <w:caps w:val="false"/>
          <w:smallCaps w:val="false"/>
          <w:sz w:val="20"/>
        </w:rPr>
        <w:t xml:space="preserve"> The Corporation is authorized to issue two classes of capital stock to be designated, respectively, as common stock and preferred stock. The total number of shares of all classes of capital stock that the Corporation shall have authority to issue is 160,000,000 shares, consisting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The Corporation is authorized to issue 10,000,000 shares of Preferred Stock, with a par value of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The Preferred Stock may be issued from time to time in one or more series.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The Corporation is authorized to issue 150,000,000 shares of common stock, with a par value of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Rights, Preferences, and Limitations of Common Stock.</w:t>
      </w:r>
      <w:r>
        <w:rPr>
          <w:rFonts w:ascii="Times New Roman;Times;Serif" w:hAnsi="Times New Roman;Times;Serif"/>
          <w:b w:val="false"/>
          <w:i w:val="false"/>
          <w:caps w:val="false"/>
          <w:smallCaps w:val="false"/>
          <w:sz w:val="20"/>
        </w:rPr>
        <w:t xml:space="preserve"> The rights, preferences, and limitations of the Common Stock are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prior rights of holders of all classes of stock at the time outstanding having prior rights as to dividends, the holders of the Common Stock shall be entitled to receive, when, as and if declared by the Board of Directors, out of any assets of the Corporation legally available therefor, any dividends as may be declared from time to time by the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The Common Stock is not redeemable at the option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xml:space="preserve">. Except as otherwise required by law or as set forth herein, the holder of each share of Common Stock shall have one (1) vote per share. The holders of Common Stock shall be entitled to notice of any stockholders’ meeting in accordance with the Bylaws of the Corporation, and shall be entitled to vote upon such matters and in such manner as may be provided by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directors of this corporation shall be determined in the manner set forth in the Bylaws of this corporation. Unless otherwise provided herein, each director shall be entitled to one vote on each matter presented to the Board of Directors; provided that to the extent the approval of any particular director or directors is required by any agreement for specified actions, receipt of such approval shall be necessary for the Board of Directors to authorize such 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directors need not be by written ballot unless the Bylaws of this Corporation shall so provide.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law, a director of this Corporation shall not be personally liable to this Corporation or its stockholders for monetary damages for breach of fiduciary duty as a director. If the DGCL is amended after approval by the stockholders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to authorize corporate action further eliminating or limiting the personal liability of directors, then the liability of a director of this Corporation shall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amendment, repeal or modification of the foregoing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alter, change, or repeal any provision contained in this Certificate of Incorporation, in the manner now or hereafter prescribed by this Certificate of Incorporation and the DGCL, and all rights, preferences and privileges herein conferred upon stockholders, directors or any other Persons are granted by and pursuant to this Certificate of Incorporation in its current form or as hereafter amended. Notwithstanding any other provisions of this Certificate of Incorporation or any provision of law which might otherwise permit a lesser vote or no vote, but in addition to any affirmative vote of the holders of capital stock of the Corporation or any particular class or series thereof required by law or by this Certificate of Incorporation (including any Certificate of Designation in respect of one or more series of Preferred Stock), the affirmative vote of the holders of at least 66&amp;frac23;% of the voting power of the outstanding shares of stock entitled to vote at an election of directors, voting together as a single class, shall be required to alter, amend or repeal, or to adopt any provision inconsistent with, Articles III, IX, XI, XII and XIV of this Certificate of Incorporation and this 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applicable law, this Corporation is authorized to provide indemnification of (and advancement of expenses to) directors, officers, employees and agents of this Corporation (and any other persons to which the DGCL permits this Corporation to provide indemnification) through Bylaw provisions, agreements with such persons, vote of stockholders or disinterested directors or otherwise, in excess of the indemnification and advancement otherwise permitted by Section 145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amendment, repeal, or modification of the foregoing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Corporation consents in writing to the selection of an alternative forum, the Court of Chancery of the State of Delaware (the “</w:t>
      </w:r>
      <w:r>
        <w:rPr>
          <w:rFonts w:ascii="Times New Roman;Times;Serif" w:hAnsi="Times New Roman;Times;Serif"/>
          <w:b/>
          <w:i w:val="false"/>
          <w:caps w:val="false"/>
          <w:smallCaps w:val="false"/>
          <w:sz w:val="20"/>
        </w:rPr>
        <w:t>Chancery Court</w:t>
      </w:r>
      <w:r>
        <w:rPr>
          <w:rFonts w:ascii="Times New Roman;Times;Serif" w:hAnsi="Times New Roman;Times;Serif"/>
          <w:b w:val="false"/>
          <w:i w:val="false"/>
          <w:caps w:val="false"/>
          <w:smallCaps w:val="false"/>
          <w:sz w:val="20"/>
        </w:rPr>
        <w:t>”) shall be the sole and exclusive forum for any stockholder (including a beneficial owner) to bring (i) any derivative action or proceeding brought on behalf of the Corporation, (ii) any action, suit or proceeding asserting a claim of breach of a fiduciary duty owed by any current or former director, officer or other employee, agent or stockholder of the Corporation to the Corporation or to the Corporation’s stockholders, (iii) any action, suit or proceeding asserting a claim against the Corporation, its current or former directors, officers, employees, agents or stockholders arising pursuant to any provision of the DGCL or this Certificate of Incorporation or the Bylaws, or (iv) any action, suit or proceeding asserting a claim against the Corporation, its current or former directors, officers, employees, agents or stockholders governed by the internal affairs doctrine. If any action the subject matter of which is within the scope of this Section A of this Article XII filed in a court other than the Chancery Court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by any stockholder (including any beneficial owner), to the fullest extent permitted by law, such stockholder shall be deemed to have consented to: (a) the personal jurisdiction of the Chancery Court in connection with any action brought in any such court to enforce this Section A of this Article XII; and (b) having service of process made upon such stockholder in any such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Corporation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contained herein to the contrary,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not apply to suits brought to enforce any liability or duty created by the Exchange Act, as amended, or any other claim for which the federal courts of the United States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fullest extent permitted by law, any person or entity purchasing or otherwise acquiring any interest in any security of the Corporation shall be deemed to have notice of and consented to the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Savings</w:t>
      </w:r>
      <w:r>
        <w:rPr>
          <w:rFonts w:ascii="Times New Roman;Times;Serif" w:hAnsi="Times New Roman;Times;Serif"/>
          <w:b w:val="false"/>
          <w:i w:val="false"/>
          <w:caps w:val="false"/>
          <w:smallCaps w:val="false"/>
          <w:sz w:val="20"/>
        </w:rPr>
        <w:t xml:space="preserve">. If any provision or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(including, without limitation, each portion of any sentence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section or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hereby expressly elects not to be governed by Section 203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Corporation shall not engage in any business combination (as defined below), at any time at which the Common Stock is registered under Section 12(b) or 12(g)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any interested stockholder (as defined below) for a period of three (3) years following the time that such stockholder became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20"/>
              </w:rPr>
            </w:pPr>
            <w:r>
              <w:rPr>
                <w:sz w:val="20"/>
              </w:rPr>
              <w:t>1.</w:t>
            </w:r>
          </w:p>
        </w:tc>
        <w:tc>
          <w:tcPr>
            <w:tcW w:w="10022" w:type="dxa"/>
            <w:tcBorders/>
            <w:vAlign w:val="center"/>
          </w:tcPr>
          <w:p>
            <w:pPr>
              <w:pStyle w:val="TableContents"/>
              <w:bidi w:val="0"/>
              <w:spacing w:before="0" w:after="283"/>
              <w:jc w:val="both"/>
              <w:rPr>
                <w:sz w:val="20"/>
              </w:rPr>
            </w:pPr>
            <w:r>
              <w:rPr>
                <w:sz w:val="20"/>
              </w:rPr>
              <w:t>(a) prior to such time that the business combination is consummated, the Board of Directors approved the business combination, or (b) the Board of Directors approved the prior transaction that resulted in the stockholder becoming an interested stockholder, or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20"/>
              </w:rPr>
            </w:pPr>
            <w:r>
              <w:rPr>
                <w:sz w:val="20"/>
              </w:rPr>
              <w:t>2.</w:t>
            </w:r>
          </w:p>
        </w:tc>
        <w:tc>
          <w:tcPr>
            <w:tcW w:w="9998" w:type="dxa"/>
            <w:tcBorders/>
            <w:vAlign w:val="center"/>
          </w:tcPr>
          <w:p>
            <w:pPr>
              <w:pStyle w:val="TableContents"/>
              <w:bidi w:val="0"/>
              <w:spacing w:before="0" w:after="283"/>
              <w:jc w:val="both"/>
              <w:rPr>
                <w:sz w:val="20"/>
              </w:rPr>
            </w:pPr>
            <w:r>
              <w:rPr>
                <w:sz w:val="20"/>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20"/>
              </w:rPr>
            </w:pPr>
            <w:r>
              <w:rPr>
                <w:sz w:val="20"/>
              </w:rPr>
              <w:t>3.</w:t>
            </w:r>
          </w:p>
        </w:tc>
        <w:tc>
          <w:tcPr>
            <w:tcW w:w="9993" w:type="dxa"/>
            <w:tcBorders/>
            <w:vAlign w:val="center"/>
          </w:tcPr>
          <w:p>
            <w:pPr>
              <w:pStyle w:val="TableContents"/>
              <w:bidi w:val="0"/>
              <w:spacing w:before="0" w:after="283"/>
              <w:jc w:val="both"/>
              <w:rPr>
                <w:sz w:val="20"/>
              </w:rPr>
            </w:pPr>
            <w:r>
              <w:rPr>
                <w:sz w:val="20"/>
              </w:rPr>
              <w:t>at or subsequent to such time, the business combination is approved by the Board of Directors and authorized or approved at an annual or special meeting of stockholders (and, notwithstanding anything to the contrary herein, not by written consent) by the affirmative vote of at least two-thirds of the then-outstanding voting stock of the Corporation that is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Solely for purposes of this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only, references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pPr>
            <w:r>
              <w:rPr/>
              <w:t>“</w:t>
            </w:r>
            <w:r>
              <w:rPr>
                <w:sz w:val="20"/>
              </w:rPr>
              <w:t>affiliate” means a person that directly, or indirectly through one or more intermediaries, controls, or is controlled by, or is under common control with, another person.</w:t>
            </w:r>
          </w:p>
        </w:tc>
      </w:tr>
    </w:tbl>
    <w:p>
      <w:pPr>
        <w:pStyle w:val="TextBody"/>
        <w:bidi w:val="0"/>
        <w:spacing w:before="0" w:after="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2.</w:t>
            </w:r>
          </w:p>
        </w:tc>
        <w:tc>
          <w:tcPr>
            <w:tcW w:w="9996" w:type="dxa"/>
            <w:tcBorders/>
            <w:vAlign w:val="center"/>
          </w:tcPr>
          <w:p>
            <w:pPr>
              <w:pStyle w:val="TableContents"/>
              <w:bidi w:val="0"/>
              <w:spacing w:before="0" w:after="283"/>
              <w:jc w:val="both"/>
              <w:rPr/>
            </w:pPr>
            <w:r>
              <w:rPr/>
              <w:t>“</w:t>
            </w:r>
            <w:r>
              <w:rPr>
                <w:sz w:val="20"/>
              </w:rPr>
              <w:t>associate,” 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least a 20% beneficial interest or as to which such person serves as trustee or in a similar fiduciary capacity; and (c) any relative or spouse of such person, or any relative of such spouse, who has the same residence as such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20"/>
              </w:rPr>
            </w:pPr>
            <w:r>
              <w:rPr>
                <w:sz w:val="20"/>
              </w:rPr>
              <w:t>3.</w:t>
            </w:r>
          </w:p>
        </w:tc>
        <w:tc>
          <w:tcPr>
            <w:tcW w:w="9962" w:type="dxa"/>
            <w:tcBorders/>
            <w:vAlign w:val="center"/>
          </w:tcPr>
          <w:p>
            <w:pPr>
              <w:pStyle w:val="TableContents"/>
              <w:bidi w:val="0"/>
              <w:spacing w:before="0" w:after="283"/>
              <w:jc w:val="both"/>
              <w:rPr/>
            </w:pPr>
            <w:r>
              <w:rPr/>
              <w:t>“</w:t>
            </w:r>
            <w:r>
              <w:rPr>
                <w:sz w:val="20"/>
              </w:rPr>
              <w:t>business combination,” when used in reference to the Corporation and any interested stockholder of the Corporation,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 xml:space="preserve">any merger or consolidation of the Corporation or any direct or indirect majority-owned subsidiary of the Corporation (1) with the interested stockholder or (2) with any other corporation, partnership, unincorporated association or other entity if the merger or consolidation is caused by the interested stockholder and as a result of such merger or consolidation this </w:t>
            </w:r>
            <w:r>
              <w:rPr>
                <w:sz w:val="20"/>
                <w:u w:val="single"/>
              </w:rPr>
              <w:t>Article XIV</w:t>
            </w:r>
            <w:r>
              <w:rPr>
                <w:sz w:val="20"/>
              </w:rPr>
              <w:t xml:space="preserve"> is not applicable to the surviving entity;</w:t>
            </w:r>
          </w:p>
        </w:tc>
      </w:tr>
    </w:tbl>
    <w:p>
      <w:pPr>
        <w:pStyle w:val="TextBody"/>
        <w:bidi w:val="0"/>
        <w:spacing w:before="0" w:after="0"/>
        <w:ind w:left="117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then outstanding stock of the Corporation;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any transaction that results in the issuance or transfer by the Corporation or by any direct or indirect majority-owned subsidiary of the Corporation of any stock of the Corporation or of such subsidiary to the interested stockholder, except: (1) pursuant to the exercise, exchange or conversion of securities exercisable for, exchangeable for or convertible into stock of the Corporation or any such subsidiary, which securities were outstanding prior to the time that the interested stockholder became such; (2) pursuant to a merger under Section 251(g) of the DGCL; (3)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(4) pursuant to an exchange offer by the Corporation to purchase stock made on the same terms to all holders of said stock; or (5) any issuance or transfer of stock by the Corporation; provided, however, that in no case under items (3) through (5)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sz w:val="20"/>
              </w:rPr>
            </w:pPr>
            <w:r>
              <w:rPr>
                <w:sz w:val="20"/>
              </w:rPr>
              <w:t>any transaction involving the Corporation or any direct or indirect majority-owned subsidiary of the Corporation that has the effect, directly or indirectly, of increasing the proportionate share of the stock of any class or series, or securities convertible into the stock of any class or series, of the Corporation or of any such subsidiary that is owned by the interested stockholder, except as a result of immaterial changes due to fractional share adjustments or as a result of any purchase or redemption or other transfer of any shares of stock not caused, directly or indirectly, by the interested stockholder;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2" w:type="dxa"/>
            <w:tcBorders/>
            <w:vAlign w:val="center"/>
          </w:tcPr>
          <w:p>
            <w:pPr>
              <w:pStyle w:val="TableContents"/>
              <w:bidi w:val="0"/>
              <w:spacing w:before="0" w:after="283"/>
              <w:jc w:val="both"/>
              <w:rPr>
                <w:sz w:val="20"/>
              </w:rPr>
            </w:pPr>
            <w:r>
              <w:rPr>
                <w:sz w:val="20"/>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4.</w:t>
            </w:r>
          </w:p>
        </w:tc>
        <w:tc>
          <w:tcPr>
            <w:tcW w:w="10037" w:type="dxa"/>
            <w:tcBorders/>
            <w:vAlign w:val="center"/>
          </w:tcPr>
          <w:p>
            <w:pPr>
              <w:pStyle w:val="TableContents"/>
              <w:bidi w:val="0"/>
              <w:spacing w:before="0" w:after="283"/>
              <w:jc w:val="both"/>
              <w:rPr/>
            </w:pPr>
            <w:r>
              <w:rPr/>
              <w:t>“</w:t>
            </w:r>
            <w:r>
              <w:rPr>
                <w:sz w:val="20"/>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sz w:val="20"/>
                <w:u w:val="single"/>
              </w:rPr>
              <w:t>Article XIV</w:t>
            </w:r>
            <w:r>
              <w:rPr>
                <w:sz w:val="20"/>
              </w:rPr>
              <w:t>, as an agent, bank, broker, nominee, custodian or trustee for one or more owners who do not individually or as a group have control of such entity.</w:t>
            </w:r>
          </w:p>
        </w:tc>
      </w:tr>
    </w:tbl>
    <w:p>
      <w:pPr>
        <w:pStyle w:val="TextBody"/>
        <w:bidi w:val="0"/>
        <w:spacing w:before="0" w:after="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5.</w:t>
            </w:r>
          </w:p>
        </w:tc>
        <w:tc>
          <w:tcPr>
            <w:tcW w:w="10035" w:type="dxa"/>
            <w:tcBorders/>
            <w:vAlign w:val="center"/>
          </w:tcPr>
          <w:p>
            <w:pPr>
              <w:pStyle w:val="TableContents"/>
              <w:bidi w:val="0"/>
              <w:spacing w:before="0" w:after="283"/>
              <w:jc w:val="both"/>
              <w:rPr/>
            </w:pPr>
            <w:r>
              <w:rPr/>
              <w:t>“</w:t>
            </w:r>
            <w:r>
              <w:rPr>
                <w:sz w:val="20"/>
              </w:rPr>
              <w:t>Exempt Transferee” means (A) any person that acquires (other than in an Excluded Transfer) directly from a Principal Stockholder or any of its affiliates or successors ownership of 15% or more of the voting stock of the Corporation, and is designated in writing by the transferor as an “Exempt Transferee” for the purpose of this </w:t>
            </w:r>
            <w:r>
              <w:rPr>
                <w:sz w:val="20"/>
                <w:u w:val="single"/>
              </w:rPr>
              <w:t>Article XIV</w:t>
            </w:r>
            <w:r>
              <w:rPr>
                <w:sz w:val="20"/>
              </w:rPr>
              <w:t>; and (B) any person that acquires (other than in an Excluded Transfer) directly from a person described in clause (A) of this definition or from any other Exempt Transferee ownership of voting stock of the Corporation, and is designated in writing by the transferor as an “Exempt Transferee” for the purpose of this Article XIV.</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20"/>
              </w:rPr>
            </w:pPr>
            <w:r>
              <w:rPr>
                <w:sz w:val="20"/>
              </w:rPr>
              <w:t>6.</w:t>
            </w:r>
          </w:p>
        </w:tc>
        <w:tc>
          <w:tcPr>
            <w:tcW w:w="10036" w:type="dxa"/>
            <w:tcBorders/>
            <w:vAlign w:val="center"/>
          </w:tcPr>
          <w:p>
            <w:pPr>
              <w:pStyle w:val="TableContents"/>
              <w:bidi w:val="0"/>
              <w:spacing w:before="0" w:after="283"/>
              <w:jc w:val="both"/>
              <w:rPr/>
            </w:pPr>
            <w:r>
              <w:rPr/>
              <w:t>“</w:t>
            </w:r>
            <w:r>
              <w:rPr>
                <w:sz w:val="20"/>
              </w:rPr>
              <w:t>Excluded Transfer” means (a) a transfer to a Person that is not an affiliate of the transferor, which transfer is by gift or otherwise not for value, including a transfer by dividend or distribution by the transferor, (b) a transfer in a public offering that is registered under the Securities Act, (c) a transfer to one or more broker-dealers or their affiliates pursuant to a firm commitment purchase agreement for an offering that is exempt from registration under the Securities Act, (d) a transfer made through the facilities of a registered securities exchange or automated interdealer quotation system and (e) a transfer made in compliance with the manner of sale limitations of Rule 144(f) under the Securities Act or any successor rule or provision.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20"/>
              </w:rPr>
            </w:pPr>
            <w:r>
              <w:rPr>
                <w:sz w:val="20"/>
              </w:rPr>
              <w:t>7.</w:t>
            </w:r>
          </w:p>
        </w:tc>
        <w:tc>
          <w:tcPr>
            <w:tcW w:w="10040" w:type="dxa"/>
            <w:tcBorders/>
            <w:vAlign w:val="center"/>
          </w:tcPr>
          <w:p>
            <w:pPr>
              <w:pStyle w:val="TableContents"/>
              <w:bidi w:val="0"/>
              <w:spacing w:before="0" w:after="283"/>
              <w:jc w:val="both"/>
              <w:rPr/>
            </w:pPr>
            <w:r>
              <w:rPr/>
              <w:t>“</w:t>
            </w:r>
            <w:r>
              <w:rPr>
                <w:sz w:val="20"/>
              </w:rPr>
              <w:t>interested stockholder” means any person (other than the Corporation or any direct or indirect majority-owned subsidiary of the Corporation) that (a) is the owner of 15% or more of the then outstanding voting stock of the Corporation, or (b) is an affiliate or associate of the Corporation and was the owner of 15% or more of the then outstanding voting stock of the Corporation at any time within the three (3) year period immediately prior to the date on which it is sought to be determined whether such person is an interested stockholder; and the affiliates and associates of such person;  provided, however, that “interested stockholder” shall not include (x) any Principal Stockholder, any Exempt Transferee or any of their respective affiliates or successors or any “group,” or any member of any such group, of which any of such persons is a party under Rule 13d-5 of the Exchange Act, or (y)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that may be issuable pursuant to any other agreement, arrangement or understanding, or upon exercise of conversion rights, warrants or options,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8.</w:t>
            </w:r>
          </w:p>
        </w:tc>
        <w:tc>
          <w:tcPr>
            <w:tcW w:w="10032" w:type="dxa"/>
            <w:tcBorders/>
            <w:vAlign w:val="center"/>
          </w:tcPr>
          <w:p>
            <w:pPr>
              <w:pStyle w:val="TableContents"/>
              <w:bidi w:val="0"/>
              <w:spacing w:before="0" w:after="283"/>
              <w:jc w:val="both"/>
              <w:rPr/>
            </w:pPr>
            <w:r>
              <w:rPr/>
              <w:t>“</w:t>
            </w:r>
            <w:r>
              <w:rPr>
                <w:sz w:val="20"/>
              </w:rPr>
              <w:t>majority-owned subsidiary” of the Corporation (or specified person) means another person of which the Corporation (or specified person), directly or indirectly with or through one or more majority-owned subsidiaries, is the general partner or managing member of such other person or owns equity securities with a majority of the votes of all equity securities generally entitled to vote in the election of directors or other governing body of such other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20"/>
              </w:rPr>
            </w:pPr>
            <w:r>
              <w:rPr>
                <w:sz w:val="20"/>
              </w:rPr>
              <w:t>9.</w:t>
            </w:r>
          </w:p>
        </w:tc>
        <w:tc>
          <w:tcPr>
            <w:tcW w:w="9977" w:type="dxa"/>
            <w:tcBorders/>
            <w:vAlign w:val="center"/>
          </w:tcPr>
          <w:p>
            <w:pPr>
              <w:pStyle w:val="TableContents"/>
              <w:bidi w:val="0"/>
              <w:spacing w:before="0" w:after="283"/>
              <w:jc w:val="both"/>
              <w:rPr/>
            </w:pPr>
            <w:r>
              <w:rPr/>
              <w:t>“</w:t>
            </w:r>
            <w:r>
              <w:rPr>
                <w:sz w:val="20"/>
              </w:rPr>
              <w:t>owner,” including the terms “own,” “owned,” and “ownership,” when used with respect to any stock, means a person that individually or with or through any of its affiliates or associates:</w:t>
            </w:r>
          </w:p>
        </w:tc>
      </w:tr>
    </w:tbl>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55"/>
        <w:gridCol w:w="441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a.</w:t>
            </w:r>
          </w:p>
        </w:tc>
        <w:tc>
          <w:tcPr>
            <w:tcW w:w="4415" w:type="dxa"/>
            <w:tcBorders/>
            <w:vAlign w:val="center"/>
          </w:tcPr>
          <w:p>
            <w:pPr>
              <w:pStyle w:val="TableContents"/>
              <w:bidi w:val="0"/>
              <w:spacing w:before="0" w:after="283"/>
              <w:jc w:val="both"/>
              <w:rPr>
                <w:sz w:val="20"/>
              </w:rPr>
            </w:pPr>
            <w:r>
              <w:rPr>
                <w:sz w:val="20"/>
              </w:rPr>
              <w:t>beneficially owns such stock, directly or indirectly;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sz w:val="20"/>
              </w:rPr>
            </w:pPr>
            <w:r>
              <w:rPr>
                <w:sz w:val="20"/>
              </w:rPr>
              <w:t>has (1)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has any agreement, arrangement or understanding for the purpose of acquiring, holding, voting (except voting pursuant to a revocable proxy or consent as described in item (2) of subsection (b) above of this definition), or disposing of such stock with any other person that beneficially owns, or whose affiliates or associates beneficially own, directly or indirectly, such stock.</w:t>
            </w:r>
          </w:p>
        </w:tc>
      </w:tr>
    </w:tbl>
    <w:p>
      <w:pPr>
        <w:pStyle w:val="TextBody"/>
        <w:bidi w:val="0"/>
        <w:spacing w:before="0" w:after="0"/>
        <w:ind w:left="0" w:right="0" w:hanging="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27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10.</w:t>
            </w:r>
          </w:p>
        </w:tc>
        <w:tc>
          <w:tcPr>
            <w:tcW w:w="8195" w:type="dxa"/>
            <w:tcBorders/>
            <w:vAlign w:val="center"/>
          </w:tcPr>
          <w:p>
            <w:pPr>
              <w:pStyle w:val="TableContents"/>
              <w:bidi w:val="0"/>
              <w:spacing w:before="0" w:after="283"/>
              <w:jc w:val="both"/>
              <w:rPr/>
            </w:pPr>
            <w:r>
              <w:rPr/>
              <w:t>“</w:t>
            </w:r>
            <w:r>
              <w:rPr>
                <w:sz w:val="20"/>
              </w:rPr>
              <w:t>person” means any individual, corporation, partnership, unincorporated association, or other entity.</w:t>
            </w:r>
          </w:p>
        </w:tc>
      </w:tr>
    </w:tbl>
    <w:p>
      <w:pPr>
        <w:pStyle w:val="TextBody"/>
        <w:bidi w:val="0"/>
        <w:spacing w:before="0" w:after="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20"/>
              </w:rPr>
            </w:pPr>
            <w:r>
              <w:rPr>
                <w:sz w:val="20"/>
              </w:rPr>
              <w:t>11.</w:t>
            </w:r>
          </w:p>
        </w:tc>
        <w:tc>
          <w:tcPr>
            <w:tcW w:w="9876" w:type="dxa"/>
            <w:tcBorders/>
            <w:vAlign w:val="center"/>
          </w:tcPr>
          <w:p>
            <w:pPr>
              <w:pStyle w:val="TableContents"/>
              <w:bidi w:val="0"/>
              <w:spacing w:before="0" w:after="283"/>
              <w:jc w:val="both"/>
              <w:rPr/>
            </w:pPr>
            <w:r>
              <w:rPr/>
              <w:t>“</w:t>
            </w:r>
            <w:r>
              <w:rPr>
                <w:sz w:val="20"/>
              </w:rPr>
              <w:t>Principal Stockholder” means any holder of at least 45% of the outstanding shares of Common Stock on the first date of the issuance of shares of Common Stock authorized by this Certificate of Incorporation.</w:t>
            </w:r>
          </w:p>
        </w:tc>
      </w:tr>
    </w:tbl>
    <w:p>
      <w:pPr>
        <w:pStyle w:val="TextBody"/>
        <w:bidi w:val="0"/>
        <w:spacing w:before="0" w:after="0"/>
        <w:ind w:left="0" w:right="0" w:hanging="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27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9560" w:type="dxa"/>
            <w:tcBorders/>
            <w:vAlign w:val="center"/>
          </w:tcPr>
          <w:p>
            <w:pPr>
              <w:pStyle w:val="TableContents"/>
              <w:bidi w:val="0"/>
              <w:spacing w:before="0" w:after="283"/>
              <w:jc w:val="both"/>
              <w:rPr/>
            </w:pPr>
            <w:r>
              <w:rPr/>
              <w:t>“</w:t>
            </w:r>
            <w:r>
              <w:rPr>
                <w:sz w:val="20"/>
              </w:rPr>
              <w:t>stock” means, with respect to any corporation, capital stock and, with respect to any other entity, any equity interest.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20"/>
              </w:rPr>
            </w:pPr>
            <w:r>
              <w:rPr>
                <w:sz w:val="20"/>
              </w:rPr>
              <w:t>13.</w:t>
            </w:r>
          </w:p>
        </w:tc>
        <w:tc>
          <w:tcPr>
            <w:tcW w:w="9924" w:type="dxa"/>
            <w:tcBorders/>
            <w:vAlign w:val="center"/>
          </w:tcPr>
          <w:p>
            <w:pPr>
              <w:pStyle w:val="TableContents"/>
              <w:bidi w:val="0"/>
              <w:spacing w:before="0" w:after="283"/>
              <w:jc w:val="both"/>
              <w:rPr/>
            </w:pPr>
            <w:r>
              <w:rPr/>
              <w:t>“</w:t>
            </w:r>
            <w:r>
              <w:rPr>
                <w:sz w:val="20"/>
              </w:rPr>
              <w:t xml:space="preserve">voting stock” means stock of any class or series entitled to vote generally in the election of directors and, with respect to any entity that is not a corporation, any equity interest entitled to vote generally in the election of the governing body of such entity. Every reference in this </w:t>
            </w:r>
            <w:r>
              <w:rPr>
                <w:sz w:val="20"/>
                <w:u w:val="single"/>
              </w:rPr>
              <w:t>Article XIV</w:t>
            </w:r>
            <w:r>
              <w:rPr>
                <w:sz w:val="20"/>
              </w:rPr>
              <w:t xml:space="preserve"> to a percentage of voting stock shall refer to such percentage of the votes of such voting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Incorporation shall be effective as of July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Incorporation has been executed by the incorporator of this corporation on this 20th day of July, 2026.</w:t>
      </w:r>
    </w:p>
    <w:p>
      <w:pPr>
        <w:pStyle w:val="TextBody"/>
        <w:bidi w:val="0"/>
        <w:spacing w:before="0" w:after="0"/>
        <w:ind w:left="468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75"/>
        <w:gridCol w:w="3605"/>
      </w:tblGrid>
      <w:tr>
        <w:trPr/>
        <w:tc>
          <w:tcPr>
            <w:tcW w:w="75" w:type="dxa"/>
            <w:tcBorders/>
            <w:vAlign w:val="center"/>
          </w:tcPr>
          <w:p>
            <w:pPr>
              <w:pStyle w:val="TableContents"/>
              <w:bidi w:val="0"/>
              <w:spacing w:before="0" w:after="283"/>
              <w:jc w:val="left"/>
              <w:rPr/>
            </w:pPr>
            <w:r>
              <w:rPr/>
              <w:t> </w:t>
            </w:r>
          </w:p>
        </w:tc>
        <w:tc>
          <w:tcPr>
            <w:tcW w:w="3605" w:type="dxa"/>
            <w:tcBorders>
              <w:bottom w:val="single" w:sz="12" w:space="0" w:color="000000"/>
            </w:tcBorders>
            <w:tcMar>
              <w:bottom w:w="28" w:type="dxa"/>
            </w:tcMar>
            <w:vAlign w:val="center"/>
          </w:tcPr>
          <w:p>
            <w:pPr>
              <w:pStyle w:val="TableContents"/>
              <w:bidi w:val="0"/>
              <w:spacing w:before="0" w:after="283"/>
              <w:jc w:val="left"/>
              <w:rPr/>
            </w:pPr>
            <w:r>
              <w:rPr/>
              <w:t>/s/ Ian Huen</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sz w:val="20"/>
              </w:rPr>
            </w:pPr>
            <w:r>
              <w:rPr>
                <w:sz w:val="20"/>
              </w:rPr>
              <w:t>Name: Ian Huen</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sz w:val="20"/>
              </w:rPr>
            </w:pPr>
            <w:r>
              <w:rPr>
                <w:sz w:val="20"/>
              </w:rPr>
              <w:t>Title: Incorporator</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sz w:val="20"/>
              </w:rPr>
            </w:pPr>
            <w:r>
              <w:rPr>
                <w:sz w:val="20"/>
              </w:rPr>
              <w:t xml:space="preserve">Address: 116 Village Boulevard, Suite 200, </w:t>
              <w:br/>
              <w:t>Princeton, NJ 08540</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4680" w:right="0" w:hanging="0"/>
        <w:jc w:val="left"/>
        <w:rPr>
          <w:caps w:val="false"/>
          <w:smallCaps w:val="false"/>
        </w:rPr>
      </w:pPr>
      <w:r>
        <w:rPr>
          <w:caps w:val="false"/>
          <w:smallCaps w:val="false"/>
        </w:rPr>
        <w:t> </w:t>
      </w:r>
    </w:p>
    <w:p>
      <w:pPr>
        <w:pStyle w:val="TextBody"/>
        <w:bidi w:val="0"/>
        <w:jc w:val="right"/>
        <w:rPr>
          <w:b/>
        </w:rPr>
      </w:pPr>
      <w:bookmarkStart w:id="30" w:name="ea029826201ex3-2.htm"/>
      <w:bookmarkStart w:id="31" w:name="ksea029826201ex32"/>
      <w:bookmarkEnd w:id="30"/>
      <w:bookmarkEnd w:id="31"/>
      <w:r>
        <w:rPr>
          <w:b/>
        </w:rPr>
        <w:t>Exhibit 3.2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Niki Biosolutions, Inc. (the “Corporation”) shall be in the State of Delaware. The Corporation also may have offices at such other places, within or without the State of Delaware, as the Board of Directors (the “Board”) determines from time to time or the business of the Corporation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Stockholders</w:t>
      </w:r>
    </w:p>
    <w:p>
      <w:pPr>
        <w:pStyle w:val="TextBody"/>
        <w:bidi w:val="0"/>
        <w:spacing w:before="0" w:after="0"/>
        <w:ind w:left="0" w:right="0" w:firstLine="43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1.</w:t>
            </w:r>
          </w:p>
        </w:tc>
        <w:tc>
          <w:tcPr>
            <w:tcW w:w="10043" w:type="dxa"/>
            <w:tcBorders/>
            <w:vAlign w:val="center"/>
          </w:tcPr>
          <w:p>
            <w:pPr>
              <w:pStyle w:val="TableContents"/>
              <w:bidi w:val="0"/>
              <w:spacing w:before="0" w:after="283"/>
              <w:jc w:val="both"/>
              <w:rPr/>
            </w:pPr>
            <w:r>
              <w:rPr>
                <w:b/>
                <w:smallCaps/>
              </w:rPr>
              <w:t>Annual Meeting</w:t>
            </w:r>
            <w:r>
              <w:rPr/>
              <w:t>. 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thirteen months subsequent to the later of the date of incorporation or the last annual meeting of stockholders. In the discretion of the Board of Directors, meetings may also be held by means of telephonic, video, or other remote communication whereby each party can hear and be heard by the other parties as may be designated from time to time by a resolution of the Board of Directors and as set forth in the notice for the relevant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2.</w:t>
            </w:r>
          </w:p>
        </w:tc>
        <w:tc>
          <w:tcPr>
            <w:tcW w:w="10037" w:type="dxa"/>
            <w:tcBorders/>
            <w:vAlign w:val="center"/>
          </w:tcPr>
          <w:p>
            <w:pPr>
              <w:pStyle w:val="TableContents"/>
              <w:bidi w:val="0"/>
              <w:spacing w:before="0" w:after="283"/>
              <w:jc w:val="both"/>
              <w:rPr/>
            </w:pPr>
            <w:r>
              <w:rPr>
                <w:b/>
                <w:smallCaps/>
              </w:rPr>
              <w:t>Special Meetings</w:t>
            </w:r>
            <w:r>
              <w:rPr/>
              <w:t>. Special meetings of the stockholders, for any purpose or purposes prescribed in the notice of the meeting, may be called by the Board of Directors, the chairperson, the Corporation’s chief executive officer, president or upon the written request by a majority of the shareholders entitled to vote and shall be held at such place, on such date, and at such time as the Corporation’s Secretary shall fix.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3.</w:t>
            </w:r>
          </w:p>
        </w:tc>
        <w:tc>
          <w:tcPr>
            <w:tcW w:w="10037" w:type="dxa"/>
            <w:tcBorders/>
            <w:vAlign w:val="center"/>
          </w:tcPr>
          <w:p>
            <w:pPr>
              <w:pStyle w:val="TableContents"/>
              <w:bidi w:val="0"/>
              <w:spacing w:before="0" w:after="283"/>
              <w:jc w:val="both"/>
              <w:rPr/>
            </w:pPr>
            <w:r>
              <w:rPr>
                <w:b/>
                <w:smallCaps/>
              </w:rPr>
              <w:t>Notice of Meetings</w:t>
            </w:r>
            <w:r>
              <w:rPr/>
              <w:t>. Written notice of the place, date and time of all meetings of the stockholders shall be given, not less than ten days nor more than sixty days before date on which the meeting shall be held, to each stockholder entitled to vote at such meeting, except as otherwise provided herein or required by the General Corporation Law of the State of Delaware (“DGCL”) or the Certificate of Incorporation.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that thirty days after the date for which the meeting 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4.</w:t>
            </w:r>
          </w:p>
        </w:tc>
        <w:tc>
          <w:tcPr>
            <w:tcW w:w="10042" w:type="dxa"/>
            <w:tcBorders/>
            <w:vAlign w:val="center"/>
          </w:tcPr>
          <w:p>
            <w:pPr>
              <w:pStyle w:val="TableContents"/>
              <w:bidi w:val="0"/>
              <w:spacing w:before="0" w:after="283"/>
              <w:jc w:val="both"/>
              <w:rPr/>
            </w:pPr>
            <w:r>
              <w:rPr>
                <w:b/>
                <w:smallCaps/>
              </w:rPr>
              <w:t>Quorum</w:t>
            </w:r>
            <w:r>
              <w:rPr/>
              <w:t>. The holders of a majority of then outstanding shares of common stock with par value of US$0.0001 each of the Corporation (the “Common Stock”), who are entitled to vote thereat, present in person or represented by proxy, shall constitute a quorum at all meetings of the stockholders for the transaction of business except as otherwise provided by statute or by the Certificate of Incorporation. Where a separate vote by a class or series is required, a majority of the voting power of the outstanding shares of such class or series present in person or represented by proxy will constitute a quorum with respect to that matter.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quorum is not present or represented at any meeting of stockholders, either the person presiding over the meeting or a majority in voting power of the stockholders, present in person or by remote communication or represented by proxy, shall have power to recess the meeting or adjourn the meeting in accordance with the bylaws until a quorum is present or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of any adjourned special meeting of stockholders is sent to all stockholders entitled to vote thereat, stating that it will be held with those present constituting a quorum, than except as otherwise requires by law, those present at such adjourned meeting shall constitute a quorum, and all matters shall be determined by a majority of the votes cast at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the stockholders, annual or special, may be adjourned from time to time by a vote of the majority of the shares present to reconvene at the same or some other place, if any, and notice need not be given of any such adjourned meeting if the time, place, if any, thereof, and the means of remote communication, if any, are announced at the meeting at which the adjournment is taken. At the adjourned meeting, the Corporation may transact any business which might have been transacted at the original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5.</w:t>
            </w:r>
          </w:p>
        </w:tc>
        <w:tc>
          <w:tcPr>
            <w:tcW w:w="10036" w:type="dxa"/>
            <w:tcBorders/>
            <w:vAlign w:val="center"/>
          </w:tcPr>
          <w:p>
            <w:pPr>
              <w:pStyle w:val="TableContents"/>
              <w:bidi w:val="0"/>
              <w:spacing w:before="0" w:after="283"/>
              <w:jc w:val="both"/>
              <w:rPr/>
            </w:pPr>
            <w:r>
              <w:rPr>
                <w:b/>
                <w:smallCaps/>
              </w:rPr>
              <w:t>Organization</w:t>
            </w:r>
            <w:r>
              <w:rPr/>
              <w:t>. Such person as the Board of Directors may have designated or in the absence of such a person, the highest ranking officer of the Corporation who is present shall call to order any meeting of the stockholders and act as chairman of the meeting. In the absence of the Secretary of the Corporation, the secretary of the meeting shall be such person as the chairman appoints.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b/>
                <w:smallCaps/>
              </w:rPr>
              <w:t>Conduct of Business</w:t>
            </w:r>
            <w:r>
              <w:rPr/>
              <w:t>. The chairman of any meeting of stockholders shall determine the order of business and the procedure at the meeting, including such regulation of the manner of voting and the conduct of discussion as seem to him in order.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7.</w:t>
            </w:r>
          </w:p>
        </w:tc>
        <w:tc>
          <w:tcPr>
            <w:tcW w:w="10045" w:type="dxa"/>
            <w:tcBorders/>
            <w:vAlign w:val="center"/>
          </w:tcPr>
          <w:p>
            <w:pPr>
              <w:pStyle w:val="TableContents"/>
              <w:bidi w:val="0"/>
              <w:spacing w:before="0" w:after="283"/>
              <w:jc w:val="both"/>
              <w:rPr/>
            </w:pPr>
            <w:r>
              <w:rPr>
                <w:b/>
                <w:smallCaps/>
              </w:rPr>
              <w:t>Proxies and Voting</w:t>
            </w:r>
            <w:r>
              <w:rPr/>
              <w:t>. At any meeting of the stockholders, every stockholder entitled to vote may vote in person or by proxy authorized by an instrument in writing filed in accordance with the procedure established for the meeting. Each stockholder entitled to vote at a meeting of stockholders or to express consent to corporate action in writing without a meeting may authorize another person or persons to act for such stockholder by proxy or by a transmission permitted by Section 212(c) of the DGCL,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of Common Stock shall have one vote for every share of stock entitled to vote which is registered in his or her name on the record date for the meeting except as otherwise provided herein or required by law. The preferred stock of the Corporation shall have the voting rights as set forth in the applicable certificate of designation for such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voting shall be held by a stock vote. Every stock vote shall be taken by ballots, each of which shall state the name of the stockholder or proxy voting and such other information as may be required under the procedure established for the meeting. Every vote taken by ballots shall be counted by an inspector appointed by the chairman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elections shall be determined by a plurality of the votes cast, and except as otherwise required by law, all other matters shall be determined by a majority.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8.</w:t>
            </w:r>
          </w:p>
        </w:tc>
        <w:tc>
          <w:tcPr>
            <w:tcW w:w="10042" w:type="dxa"/>
            <w:tcBorders/>
            <w:vAlign w:val="center"/>
          </w:tcPr>
          <w:p>
            <w:pPr>
              <w:pStyle w:val="TableContents"/>
              <w:bidi w:val="0"/>
              <w:spacing w:before="0" w:after="283"/>
              <w:jc w:val="both"/>
              <w:rPr/>
            </w:pPr>
            <w:r>
              <w:rPr>
                <w:b/>
                <w:smallCaps/>
              </w:rPr>
              <w:t>List of Stockholders</w:t>
            </w:r>
            <w:r>
              <w:rPr/>
              <w:t>. A complete list of stockholders entitled to vote at any meeting of stockholders, arranged in alphabetical order for each class of stock and showing the address of each such stockholder and the number of shares registered in his/her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stockholders shall be kept at the place of the meeting during the whole time thereof and shall be open to the examination of any such stockholder who is present. This list shall presumptively determine the identity of the stockholders entitled to vote at the meeting and the number of shares held by each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9.</w:t>
            </w:r>
          </w:p>
        </w:tc>
        <w:tc>
          <w:tcPr>
            <w:tcW w:w="10039" w:type="dxa"/>
            <w:tcBorders/>
            <w:vAlign w:val="center"/>
          </w:tcPr>
          <w:p>
            <w:pPr>
              <w:pStyle w:val="TableContents"/>
              <w:bidi w:val="0"/>
              <w:spacing w:before="0" w:after="283"/>
              <w:jc w:val="both"/>
              <w:rPr/>
            </w:pPr>
            <w:r>
              <w:rPr>
                <w:b/>
                <w:smallCaps/>
              </w:rPr>
              <w:t xml:space="preserve">Action without a Meeting. </w:t>
            </w:r>
            <w:r>
              <w:rPr/>
              <w:t>Any action which may be taken by the vote of the stockholders at an annual or special meeting may be taken without a meeting if authorized by the written consent of stockholders holding at least a majority of the voting power, unless the provisions of the statutes, the Certificate of Incorporation or these Bylaws require a greater proportion of voting power to authorize such action in which case such greater proportion of written consents shall be required.</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320"/>
        <w:gridCol w:w="4160"/>
      </w:tblGrid>
      <w:tr>
        <w:trPr/>
        <w:tc>
          <w:tcPr>
            <w:tcW w:w="320" w:type="dxa"/>
            <w:tcBorders/>
            <w:vAlign w:val="center"/>
          </w:tcPr>
          <w:p>
            <w:pPr>
              <w:pStyle w:val="TableContents"/>
              <w:bidi w:val="0"/>
              <w:spacing w:before="0" w:after="283"/>
              <w:jc w:val="left"/>
              <w:rPr>
                <w:b/>
              </w:rPr>
            </w:pPr>
            <w:r>
              <w:rPr>
                <w:b/>
              </w:rPr>
              <w:t>10.</w:t>
            </w:r>
          </w:p>
        </w:tc>
        <w:tc>
          <w:tcPr>
            <w:tcW w:w="4160" w:type="dxa"/>
            <w:tcBorders/>
            <w:vAlign w:val="center"/>
          </w:tcPr>
          <w:p>
            <w:pPr>
              <w:pStyle w:val="TableContents"/>
              <w:bidi w:val="0"/>
              <w:spacing w:before="0" w:after="283"/>
              <w:jc w:val="left"/>
              <w:rPr/>
            </w:pPr>
            <w:r>
              <w:rPr>
                <w:b/>
              </w:rPr>
              <w:t>ADVANCE NOTICE FOR BUSINESS</w:t>
            </w:r>
            <w:r>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and on the record date for the determination of stockholders entitled to vote at such annual meeting and (y) who complies with the notice procedures set forth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to the contrary, only persons nominated for election as a director to fill any term of a directorship that expires on the date of the annual meeting pursuant to Article III Section 10 will be considered for election at such meeting.</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Times New Roman;Times;Serif" w:hAnsi="Times New Roman;Times;Serif"/>
          <w:b w:val="false"/>
          <w:i w:val="false"/>
          <w:caps w:val="false"/>
          <w:smallCaps w:val="false"/>
          <w:sz w:val="20"/>
          <w:u w:val="single"/>
        </w:rPr>
        <w:t>Section 10(a)(iii)</w:t>
      </w:r>
      <w:r>
        <w:rPr>
          <w:rFonts w:ascii="Times New Roman;Times;Serif" w:hAnsi="Times New Roman;Times;Serif"/>
          <w:b w:val="false"/>
          <w:i w:val="false"/>
          <w:caps w:val="false"/>
          <w:smallCaps w:val="false"/>
          <w:sz w:val="20"/>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10(a).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foregoing notice requirements of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provided, however, that once business has been properly brought before the annual meeting in accordance with such procedures, nothing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or that the information provided in a stockholder’s notice does not satisfy the information requirements of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 such proposal shall not be presented for action at the annual meeting. Notwithstanding the foregoing provisions of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addition to the provisions of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a stockholder shall also comply with all applicable requirements of the Exchange Act and the rules and regulations thereunder with respect to the matters set forth herein. Nothing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shall be deemed to affect any rights of stockholders to request inclusion of proposals in the Corporation’s proxy statement pursuant to Rule 14a-8 under the Exchange Act.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 Special Meetings of Stockholders</w:t>
      </w:r>
      <w:r>
        <w:rPr>
          <w:rFonts w:ascii="Times New Roman;Times;Serif" w:hAnsi="Times New Roman;Times;Serif"/>
          <w:b w:val="false"/>
          <w:i w:val="false"/>
          <w:caps w:val="false"/>
          <w:smallCaps w:val="false"/>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Article III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72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For purposes of these By Laws, “</w:t>
      </w:r>
      <w:r>
        <w:rPr>
          <w:rFonts w:ascii="Times New Roman;Times;Serif" w:hAnsi="Times New Roman;Times;Serif"/>
          <w:b/>
          <w:i/>
          <w:caps w:val="false"/>
          <w:smallCaps w:val="false"/>
          <w:sz w:val="20"/>
        </w:rPr>
        <w:t>public announcement</w:t>
      </w:r>
      <w:r>
        <w:rPr>
          <w:rFonts w:ascii="Times New Roman;Times;Serif" w:hAnsi="Times New Roman;Times;Serif"/>
          <w:b w:val="false"/>
          <w:i w:val="false"/>
          <w:caps w:val="false"/>
          <w:smallCaps w:val="false"/>
          <w:sz w:val="20"/>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Board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1.</w:t>
            </w:r>
          </w:p>
        </w:tc>
        <w:tc>
          <w:tcPr>
            <w:tcW w:w="10043" w:type="dxa"/>
            <w:tcBorders/>
            <w:vAlign w:val="center"/>
          </w:tcPr>
          <w:p>
            <w:pPr>
              <w:pStyle w:val="TableContents"/>
              <w:bidi w:val="0"/>
              <w:spacing w:before="0" w:after="283"/>
              <w:jc w:val="both"/>
              <w:rPr/>
            </w:pPr>
            <w:r>
              <w:rPr>
                <w:b/>
                <w:smallCaps/>
              </w:rPr>
              <w:t>Number and Term of Office</w:t>
            </w:r>
            <w:r>
              <w:rPr/>
              <w:t>. The board of directors shall consist of one or more members, each of whom shall be a natural person. Unless the certificate of incorporation fixes the number of directors, the number of directors shall be determined from time to time by resolution of the board of directors. Each director shall be elected for a term of one year and until his or her successor is elected and qualified, except as otherwise provided herein or required by law. Any decrease in the authorized number of directors shall not become effective until the expiration of the term of the directors then in office unless, at the time of such decrease, there shall be vacancies on the board which are being eliminated by the decrease.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whose term has expired shall be elected for a full term of one year to succeed the directors whose terms expire at such annual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283"/>
              <w:jc w:val="both"/>
              <w:rPr/>
            </w:pPr>
            <w:r>
              <w:rPr>
                <w:b/>
                <w:smallCaps/>
              </w:rPr>
              <w:t>Vacancies</w:t>
            </w:r>
            <w:r>
              <w:rPr/>
              <w:t xml:space="preserve">. 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i/>
              </w:rPr>
              <w:t>provided, however</w:t>
            </w:r>
            <w:r>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3.</w:t>
            </w:r>
          </w:p>
        </w:tc>
        <w:tc>
          <w:tcPr>
            <w:tcW w:w="10031" w:type="dxa"/>
            <w:tcBorders/>
            <w:vAlign w:val="center"/>
          </w:tcPr>
          <w:p>
            <w:pPr>
              <w:pStyle w:val="TableContents"/>
              <w:bidi w:val="0"/>
              <w:spacing w:before="0" w:after="283"/>
              <w:jc w:val="both"/>
              <w:rPr/>
            </w:pPr>
            <w:r>
              <w:rPr>
                <w:b/>
                <w:smallCaps/>
              </w:rPr>
              <w:t>Regular Meetings</w:t>
            </w:r>
            <w:r>
              <w:rPr/>
              <w:t>. Regular meetings of the Board of Director shall be held at such place or places, on such date or dates, and at such time or times as shall have been established by the Board of Directors and publicized among all directors. A notice of each regular meeting shall not be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4.</w:t>
            </w:r>
          </w:p>
        </w:tc>
        <w:tc>
          <w:tcPr>
            <w:tcW w:w="10041" w:type="dxa"/>
            <w:tcBorders/>
            <w:vAlign w:val="center"/>
          </w:tcPr>
          <w:p>
            <w:pPr>
              <w:pStyle w:val="TableContents"/>
              <w:bidi w:val="0"/>
              <w:spacing w:before="0" w:after="283"/>
              <w:jc w:val="both"/>
              <w:rPr/>
            </w:pPr>
            <w:r>
              <w:rPr>
                <w:b/>
                <w:smallCaps/>
              </w:rPr>
              <w:t>Special Meetings</w:t>
            </w:r>
            <w:r>
              <w:rPr/>
              <w:t>. Special meetings of the Board of Directors may be called by one-third of the directors then in office or by the chief executive officer and shall be held at such place, on such date and at such time as they or he/she shall fix. Notice of the place, date and time of each such special meeting shall be given to each director by whom it is not waived by mailing written notice not less than three days before the meeting or by electronic transmission of the same not less than 18 hours before the meeting. Unless otherwise indicated in the notice thereof, any and all business may be transacted at a special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5.</w:t>
            </w:r>
          </w:p>
        </w:tc>
        <w:tc>
          <w:tcPr>
            <w:tcW w:w="10033" w:type="dxa"/>
            <w:tcBorders/>
            <w:vAlign w:val="center"/>
          </w:tcPr>
          <w:p>
            <w:pPr>
              <w:pStyle w:val="TableContents"/>
              <w:bidi w:val="0"/>
              <w:spacing w:before="0" w:after="283"/>
              <w:jc w:val="both"/>
              <w:rPr/>
            </w:pPr>
            <w:r>
              <w:rPr>
                <w:b/>
                <w:smallCaps/>
              </w:rPr>
              <w:t>Quorum</w:t>
            </w:r>
            <w:r>
              <w:rPr/>
              <w:t>. At any meeting of the Board of Directors, a majority of the total number of the whole board or a sole director shall constitute a quorum for all purposes. If a quorum shall fail to attend any meeting, a majority of those present may adjourn the meeting to another place, date, or time without further notice or waiver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6.</w:t>
            </w:r>
          </w:p>
        </w:tc>
        <w:tc>
          <w:tcPr>
            <w:tcW w:w="10037" w:type="dxa"/>
            <w:tcBorders/>
            <w:vAlign w:val="center"/>
          </w:tcPr>
          <w:p>
            <w:pPr>
              <w:pStyle w:val="TableContents"/>
              <w:bidi w:val="0"/>
              <w:spacing w:before="0" w:after="283"/>
              <w:jc w:val="both"/>
              <w:rPr/>
            </w:pPr>
            <w:r>
              <w:rPr>
                <w:b/>
                <w:smallCaps/>
              </w:rPr>
              <w:t>Participation in meetings by Telephone Conference</w:t>
            </w:r>
            <w:r>
              <w:rPr/>
              <w:t>. Members of the Board of Directors, or any committee thereof may participate in a meeting of such board or committee by means of telephone conference or similar means of remote communication that enable all persons participating in the meeting to hear each other. Such participation shall constitute presence in person at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7.</w:t>
            </w:r>
          </w:p>
        </w:tc>
        <w:tc>
          <w:tcPr>
            <w:tcW w:w="10039" w:type="dxa"/>
            <w:tcBorders/>
            <w:vAlign w:val="center"/>
          </w:tcPr>
          <w:p>
            <w:pPr>
              <w:pStyle w:val="TableContents"/>
              <w:bidi w:val="0"/>
              <w:spacing w:before="0" w:after="283"/>
              <w:jc w:val="both"/>
              <w:rPr/>
            </w:pPr>
            <w:r>
              <w:rPr>
                <w:b/>
                <w:smallCaps/>
              </w:rPr>
              <w:t>Conduct of Business</w:t>
            </w:r>
            <w:r>
              <w:rPr/>
              <w:t>. At any meeting of the Board of Directors, business shall be transacted in such order and manner as the board may from time to time determine, and all matters shall be determine by the vote of a majority of the directors present, except as otherwise provided herein or required by law. Action may be taken by the Board of Directors without a meeting if all members thereof consent thereto in writing and the writing is filed with the minutes of the proceedings of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8.</w:t>
            </w:r>
          </w:p>
        </w:tc>
        <w:tc>
          <w:tcPr>
            <w:tcW w:w="10032" w:type="dxa"/>
            <w:tcBorders/>
            <w:vAlign w:val="center"/>
          </w:tcPr>
          <w:p>
            <w:pPr>
              <w:pStyle w:val="TableContents"/>
              <w:bidi w:val="0"/>
              <w:spacing w:before="0" w:after="283"/>
              <w:jc w:val="both"/>
              <w:rPr/>
            </w:pPr>
            <w:r>
              <w:rPr>
                <w:b/>
                <w:smallCaps/>
              </w:rPr>
              <w:t>Action without a Meeting.</w:t>
            </w:r>
            <w:r>
              <w:rPr/>
              <w:t xml:space="preserve"> Any action required or permitted to be taken at any meeting of the Board of Directors may be taken without a meeting if a written consent thereto is signed by all members of the Board of Directors, and such written consent is filed with the minutes of proceedings of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smallCaps/>
              </w:rPr>
            </w:pPr>
            <w:r>
              <w:rPr>
                <w:b/>
                <w:smallCaps/>
              </w:rPr>
              <w:t>9.</w:t>
            </w:r>
          </w:p>
        </w:tc>
        <w:tc>
          <w:tcPr>
            <w:tcW w:w="1430" w:type="dxa"/>
            <w:tcBorders/>
            <w:vAlign w:val="center"/>
          </w:tcPr>
          <w:p>
            <w:pPr>
              <w:pStyle w:val="TableContents"/>
              <w:bidi w:val="0"/>
              <w:spacing w:before="0" w:after="283"/>
              <w:jc w:val="both"/>
              <w:rPr>
                <w:b/>
              </w:rPr>
            </w:pPr>
            <w:r>
              <w:rPr>
                <w:b/>
              </w:rPr>
              <w:t xml:space="preserve">REMOVAL.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 imposed by law, any individual director or directors may be removed with or without cause by the affirmative vote of the holders of at least a majority of the voting power of all then-outstanding shares of capital stock of the corporation entitled to vote generally at an election of directors, voting together as a single class.</w:t>
      </w:r>
    </w:p>
    <w:p>
      <w:pPr>
        <w:pStyle w:val="TextBody"/>
        <w:bidi w:val="0"/>
        <w:spacing w:before="0" w:after="0"/>
        <w:ind w:left="720" w:right="0" w:hanging="720"/>
        <w:jc w:val="both"/>
        <w:rPr>
          <w:smallCaps/>
        </w:rPr>
      </w:pPr>
      <w:r>
        <w:rPr>
          <w:smallCaps/>
        </w:rPr>
        <w:t> </w:t>
      </w:r>
    </w:p>
    <w:tbl>
      <w:tblPr>
        <w:tblW w:w="6880" w:type="dxa"/>
        <w:jc w:val="left"/>
        <w:tblInd w:w="0" w:type="dxa"/>
        <w:tblLayout w:type="fixed"/>
        <w:tblCellMar>
          <w:top w:w="0" w:type="dxa"/>
          <w:left w:w="0" w:type="dxa"/>
          <w:bottom w:w="0" w:type="dxa"/>
          <w:right w:w="0" w:type="dxa"/>
        </w:tblCellMar>
      </w:tblPr>
      <w:tblGrid>
        <w:gridCol w:w="335"/>
        <w:gridCol w:w="6545"/>
      </w:tblGrid>
      <w:tr>
        <w:trPr/>
        <w:tc>
          <w:tcPr>
            <w:tcW w:w="335" w:type="dxa"/>
            <w:tcBorders/>
            <w:vAlign w:val="center"/>
          </w:tcPr>
          <w:p>
            <w:pPr>
              <w:pStyle w:val="TableContents"/>
              <w:bidi w:val="0"/>
              <w:spacing w:before="0" w:after="283"/>
              <w:jc w:val="left"/>
              <w:rPr>
                <w:b/>
                <w:smallCaps/>
              </w:rPr>
            </w:pPr>
            <w:r>
              <w:rPr>
                <w:b/>
                <w:smallCaps/>
              </w:rPr>
              <w:t>10.</w:t>
            </w:r>
          </w:p>
        </w:tc>
        <w:tc>
          <w:tcPr>
            <w:tcW w:w="6545" w:type="dxa"/>
            <w:tcBorders/>
            <w:vAlign w:val="center"/>
          </w:tcPr>
          <w:p>
            <w:pPr>
              <w:pStyle w:val="TableContents"/>
              <w:bidi w:val="0"/>
              <w:spacing w:before="0" w:after="283"/>
              <w:jc w:val="both"/>
              <w:rPr/>
            </w:pPr>
            <w:r>
              <w:rPr>
                <w:b/>
              </w:rPr>
              <w:t>ADVANCE NOTICE FOR NOMINATION OF DIRECTORS</w:t>
            </w:r>
            <w:r>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Article III </w:t>
      </w:r>
      <w:r>
        <w:rPr>
          <w:rFonts w:ascii="Times New Roman;Times;Serif" w:hAnsi="Times New Roman;Times;Serif"/>
          <w:b w:val="false"/>
          <w:i w:val="false"/>
          <w:caps w:val="false"/>
          <w:smallCaps w:val="false"/>
          <w:sz w:val="20"/>
          <w:u w:val="single"/>
        </w:rPr>
        <w:t xml:space="preserve">Section 10 </w:t>
      </w:r>
      <w:r>
        <w:rPr>
          <w:rFonts w:ascii="Times New Roman;Times;Serif" w:hAnsi="Times New Roman;Times;Serif"/>
          <w:b w:val="false"/>
          <w:i w:val="false"/>
          <w:caps w:val="false"/>
          <w:smallCaps w:val="false"/>
          <w:sz w:val="20"/>
        </w:rPr>
        <w:t xml:space="preserve">and on the record date for the determination of stockholders entitled to vote at such meeting and (y) who complies with the notice procedures set forth in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Times;Serif" w:hAnsi="Times New Roman;Times;Serif"/>
          <w:b w:val="false"/>
          <w:i w:val="false"/>
          <w:caps w:val="false"/>
          <w:smallCaps w:val="false"/>
          <w:sz w:val="20"/>
          <w:u w:val="single"/>
        </w:rPr>
        <w:t xml:space="preserve">Article III Section 10 </w:t>
      </w:r>
      <w:r>
        <w:rPr>
          <w:rFonts w:ascii="Times New Roman;Times;Serif" w:hAnsi="Times New Roman;Times;Serif"/>
          <w:b w:val="false"/>
          <w:i w:val="false"/>
          <w:caps w:val="false"/>
          <w:smallCaps w:val="false"/>
          <w:sz w:val="20"/>
        </w:rPr>
        <w:t>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Board or the chairman of the meeting of stockholders determines that any nomination was not made in accordance with the provisions of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 xml:space="preserve"> , or that the information provided in a stockholder’s notice does not satisfy the information requirements of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 xml:space="preserve">, then such nomination shall not be considered at the meeting in question. Notwithstanding the foregoing provisions of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addition to the provisions of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 xml:space="preserve">, a stockholder shall also comply with all of the applicable requirements of the Exchange Act and the rules and regulations thereunder with respect to the matters set forth herein. Nothing in this </w:t>
      </w:r>
      <w:r>
        <w:rPr>
          <w:rFonts w:ascii="Times New Roman;Times;Serif" w:hAnsi="Times New Roman;Times;Serif"/>
          <w:b w:val="false"/>
          <w:i w:val="false"/>
          <w:caps w:val="false"/>
          <w:smallCaps w:val="false"/>
          <w:sz w:val="20"/>
          <w:u w:val="single"/>
        </w:rPr>
        <w:t>Article III Section 10</w:t>
      </w:r>
      <w:r>
        <w:rPr>
          <w:rFonts w:ascii="Times New Roman;Times;Serif" w:hAnsi="Times New Roman;Times;Serif"/>
          <w:b w:val="false"/>
          <w:i w:val="false"/>
          <w:caps w:val="false"/>
          <w:smallCaps w:val="false"/>
          <w:sz w:val="20"/>
        </w:rPr>
        <w:t xml:space="preserve"> shall be deemed to affect any rights of the holders of preferred stock to elect directors pursuant to the Certificate of Incorporation.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b/>
                <w:smallCaps/>
              </w:rPr>
            </w:pPr>
            <w:r>
              <w:rPr>
                <w:b/>
                <w:smallCaps/>
              </w:rPr>
              <w:t>11.</w:t>
            </w:r>
          </w:p>
        </w:tc>
        <w:tc>
          <w:tcPr>
            <w:tcW w:w="9908" w:type="dxa"/>
            <w:tcBorders/>
            <w:vAlign w:val="center"/>
          </w:tcPr>
          <w:p>
            <w:pPr>
              <w:pStyle w:val="TableContents"/>
              <w:bidi w:val="0"/>
              <w:spacing w:before="0" w:after="283"/>
              <w:jc w:val="both"/>
              <w:rPr/>
            </w:pPr>
            <w:r>
              <w:rPr>
                <w:b/>
                <w:smallCaps/>
              </w:rPr>
              <w:t>Powers</w:t>
            </w:r>
            <w:r>
              <w:rPr/>
              <w:t>. The Board of Directors may, except as otherwise required by law, exercise all such powers and do all such things as may be exercised or done by the Corporation, including, without limiting the generality of the foregoing, the unqualified power:</w:t>
            </w:r>
          </w:p>
        </w:tc>
      </w:tr>
    </w:tbl>
    <w:p>
      <w:pPr>
        <w:pStyle w:val="TextBody"/>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9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005" w:type="dxa"/>
            <w:tcBorders/>
            <w:vAlign w:val="center"/>
          </w:tcPr>
          <w:p>
            <w:pPr>
              <w:pStyle w:val="TableContents"/>
              <w:bidi w:val="0"/>
              <w:spacing w:before="0" w:after="283"/>
              <w:jc w:val="both"/>
              <w:rPr/>
            </w:pPr>
            <w:r>
              <w:rPr/>
              <w:t>To declare dividends from time to time in accordance with law;</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9"/>
        <w:gridCol w:w="9834"/>
      </w:tblGrid>
      <w:tr>
        <w:trPr/>
        <w:tc>
          <w:tcPr>
            <w:tcW w:w="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(2)</w:t>
            </w:r>
          </w:p>
        </w:tc>
        <w:tc>
          <w:tcPr>
            <w:tcW w:w="9834" w:type="dxa"/>
            <w:tcBorders/>
            <w:vAlign w:val="center"/>
          </w:tcPr>
          <w:p>
            <w:pPr>
              <w:pStyle w:val="TableContents"/>
              <w:bidi w:val="0"/>
              <w:spacing w:before="0" w:after="283"/>
              <w:jc w:val="both"/>
              <w:rPr/>
            </w:pPr>
            <w:r>
              <w:rPr/>
              <w:t>To purchase or acquire any property, rights or privileges on such terms as it shall determine;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both"/>
              <w:rPr/>
            </w:pPr>
            <w:r>
              <w:rPr/>
              <w:t>To authorize the creation, making and issuance, in such form as it may determine of written obligations of any kind, negotiable or non-negotiable, secured, or unsecured, and to do all things necessary in connection therewith;</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283"/>
              <w:jc w:val="both"/>
              <w:rPr/>
            </w:pPr>
            <w:r>
              <w:rPr/>
              <w:t>To remove any officer of the Corporation with or without cause, and from time to time to devolve the powers and duties of any officer upon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(5)</w:t>
            </w:r>
          </w:p>
        </w:tc>
        <w:tc>
          <w:tcPr>
            <w:tcW w:w="9890" w:type="dxa"/>
            <w:tcBorders/>
            <w:vAlign w:val="center"/>
          </w:tcPr>
          <w:p>
            <w:pPr>
              <w:pStyle w:val="TableContents"/>
              <w:bidi w:val="0"/>
              <w:spacing w:before="0" w:after="283"/>
              <w:jc w:val="both"/>
              <w:rPr/>
            </w:pPr>
            <w:r>
              <w:rPr/>
              <w:t>To confer upon any officer of the Corporation the power to appoint, remove and suspend subordinate officers and agents;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(6)</w:t>
            </w:r>
          </w:p>
        </w:tc>
        <w:tc>
          <w:tcPr>
            <w:tcW w:w="9915" w:type="dxa"/>
            <w:tcBorders/>
            <w:vAlign w:val="center"/>
          </w:tcPr>
          <w:p>
            <w:pPr>
              <w:pStyle w:val="TableContents"/>
              <w:bidi w:val="0"/>
              <w:spacing w:before="0" w:after="283"/>
              <w:jc w:val="both"/>
              <w:rPr/>
            </w:pPr>
            <w:r>
              <w:rPr/>
              <w:t>To adopt from time to time such stock, option, stock purchase, bonus or other compensation plans for directors, officers and agents of the Corporation and its subsidiaries as it may determine;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(7)</w:t>
            </w:r>
          </w:p>
        </w:tc>
        <w:tc>
          <w:tcPr>
            <w:tcW w:w="9911" w:type="dxa"/>
            <w:tcBorders/>
            <w:vAlign w:val="center"/>
          </w:tcPr>
          <w:p>
            <w:pPr>
              <w:pStyle w:val="TableContents"/>
              <w:bidi w:val="0"/>
              <w:spacing w:before="0" w:after="283"/>
              <w:jc w:val="both"/>
              <w:rPr/>
            </w:pPr>
            <w:r>
              <w:rPr/>
              <w:t>To adopt from time to time such insurance, retirement, and other benefit plans for directors, officers and agents of the Corporation and its subsidiaries as it may determine;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(8)</w:t>
            </w:r>
          </w:p>
        </w:tc>
        <w:tc>
          <w:tcPr>
            <w:tcW w:w="9898" w:type="dxa"/>
            <w:tcBorders/>
            <w:vAlign w:val="center"/>
          </w:tcPr>
          <w:p>
            <w:pPr>
              <w:pStyle w:val="TableContents"/>
              <w:bidi w:val="0"/>
              <w:spacing w:before="0" w:after="283"/>
              <w:jc w:val="both"/>
              <w:rPr/>
            </w:pPr>
            <w:r>
              <w:rPr/>
              <w:t>To adopt from time to time regulations, not inconsistent with these by-laws, for the management of the Corporation's business and affairs.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Committees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b/>
                <w:smallCaps/>
              </w:rPr>
              <w:t>Committees of the Board of Directors</w:t>
            </w:r>
            <w:r>
              <w:rPr/>
              <w:t>. The Board of Directors, by a vote of a majority of the whole board,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alternative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no such committee shall have the power or authority to declare a dividend, to authorize the issuance of stock or to adopt a certificate of ownership and merger. In the absence or disqualification of any member of any committee and any alternate member in his/her place, the member or members of the committee present at the meeting and not disqualified from voting, whether or not he/she or they constitute a quorum, may by unanimous vote appoint another member of the Board of directors to act at the meeting in the place of the absent or disqualified member.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b/>
                <w:smallCaps/>
              </w:rPr>
              <w:t>Conduct of Business</w:t>
            </w:r>
            <w:r>
              <w:rPr/>
              <w:t>. 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is filed with the minutes of the proceedings of such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Officers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b/>
                <w:smallCaps/>
              </w:rPr>
              <w:t>Generally</w:t>
            </w:r>
            <w:r>
              <w:rPr/>
              <w:t>. The officers of the Corporation shall consist of the chief executive officer, a president, one or more vice-presidents, a secretary, a treasurer and such other subordinate officers as may from time to time be appointed by the Board of Directors. Officers shall be elected by the Board of Directors. Each officer shall hold his/her office until his/her successor is elected and qualified or until his/her earlier resignation or removal. The Chief Executive Officer shall be a member of the Board of Directors. Any number of offices may be held by the same person.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b/>
                <w:smallCaps/>
              </w:rPr>
              <w:t>Chief Executive Officer</w:t>
            </w:r>
            <w:r>
              <w:rPr/>
              <w:t>.. Subject to the provisions of these by-laws and to the direction of the Board of Directors, the Chief Executive Officer shall have the responsibility for the general management and control of the affairs and business of the Corporation and shall perform all the duties and have all the powers, which are delegated to him/her by the Board of Directors. He/she shall have power to sign all stock certificates, contracts and other instruments of the Corporation which are authorized. He/she shall have general supervision and direction of all of the other officers and agents of the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b/>
                <w:smallCaps/>
              </w:rPr>
              <w:t>President and Vice Presidents</w:t>
            </w:r>
            <w:r>
              <w:rPr/>
              <w:t>. President and each Vice-President, if any, shall perform such duties as the Board of Directors shall prescribe. In the absence or disabilities of the Chief Executive Officer, the President shall perform the duties and exercise the powers of the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b/>
                <w:smallCaps/>
              </w:rPr>
              <w:t>Treasurer</w:t>
            </w:r>
            <w:r>
              <w:rPr/>
              <w:t>. The Treasurer shall have the custody of all monies and securities of the Corporation and shall keep regular books of account. He/she shall make such disbursements of the funds of the Corporation as are proper and shall render from time to time an account of all such transactions and of the financial conditions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283"/>
              <w:jc w:val="both"/>
              <w:rPr/>
            </w:pPr>
            <w:r>
              <w:rPr>
                <w:b/>
                <w:smallCaps/>
              </w:rPr>
              <w:t>Secretary</w:t>
            </w:r>
            <w:r>
              <w:rPr/>
              <w:t>. The Secretary shall issue all authorized notices for and shall keep minutes of all meetings of the stockholders and the Board of Directors. He/she shall have charge of the corporate books.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6.</w:t>
            </w:r>
          </w:p>
        </w:tc>
        <w:tc>
          <w:tcPr>
            <w:tcW w:w="9998" w:type="dxa"/>
            <w:tcBorders/>
            <w:vAlign w:val="center"/>
          </w:tcPr>
          <w:p>
            <w:pPr>
              <w:pStyle w:val="TableContents"/>
              <w:bidi w:val="0"/>
              <w:spacing w:before="0" w:after="283"/>
              <w:jc w:val="both"/>
              <w:rPr/>
            </w:pPr>
            <w:r>
              <w:rPr>
                <w:b/>
                <w:smallCaps/>
              </w:rPr>
              <w:t>Delegation of Authority</w:t>
            </w:r>
            <w:r>
              <w:rPr/>
              <w:t>. The Board of Directors may from time to time delegate the powers or duties of any officer to any other officer or agents, notwithstanding any provision hereof.</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7.</w:t>
            </w:r>
          </w:p>
        </w:tc>
        <w:tc>
          <w:tcPr>
            <w:tcW w:w="9977" w:type="dxa"/>
            <w:tcBorders/>
            <w:vAlign w:val="center"/>
          </w:tcPr>
          <w:p>
            <w:pPr>
              <w:pStyle w:val="TableContents"/>
              <w:bidi w:val="0"/>
              <w:spacing w:before="0" w:after="283"/>
              <w:jc w:val="both"/>
              <w:rPr/>
            </w:pPr>
            <w:r>
              <w:rPr>
                <w:b/>
                <w:smallCaps/>
              </w:rPr>
              <w:t>Removal</w:t>
            </w:r>
            <w:r>
              <w:rPr/>
              <w:t>. Any officer of the Corporation may be removed at any time with or without cause by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8.</w:t>
            </w:r>
          </w:p>
        </w:tc>
        <w:tc>
          <w:tcPr>
            <w:tcW w:w="10019" w:type="dxa"/>
            <w:tcBorders/>
            <w:vAlign w:val="center"/>
          </w:tcPr>
          <w:p>
            <w:pPr>
              <w:pStyle w:val="TableContents"/>
              <w:bidi w:val="0"/>
              <w:spacing w:before="0" w:after="283"/>
              <w:jc w:val="both"/>
              <w:rPr/>
            </w:pPr>
            <w:r>
              <w:rPr>
                <w:b/>
                <w:smallCaps/>
              </w:rPr>
              <w:t>Action with Respect to Securities of other Corporations</w:t>
            </w:r>
            <w:r>
              <w:rPr/>
              <w:t>. Unless otherwise directed by the Board of Directors, the Chief Executive Officer shall have power to vote and otherwise act on behalf of the Corporation, in person or by proxy, at any meeting of the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Right of Indemnification of Directors, Officers and Others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b/>
                <w:smallCaps/>
              </w:rPr>
              <w:t>Right of Indemnification</w:t>
            </w:r>
            <w:r>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b/>
                <w:i/>
              </w:rPr>
              <w:t>proceeding</w:t>
            </w:r>
            <w:r>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b/>
                <w:i/>
              </w:rPr>
              <w:t>Indemnitee</w:t>
            </w:r>
            <w:r>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u w:val="single"/>
              </w:rPr>
              <w:t xml:space="preserve">Section 8.3 </w:t>
            </w:r>
            <w:r>
              <w:rPr/>
              <w:t>with respect to proceedings to enforce rights to indemnification, the Corporation shall indemnify an Indemnitee in connection with a proceeding (or part thereof) initiated by such Indemnitee only if such proceeding (or part thereof) was authorized by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b/>
              </w:rPr>
            </w:pPr>
            <w:r>
              <w:rPr>
                <w:b/>
              </w:rPr>
              <w:t>2.</w:t>
            </w:r>
          </w:p>
        </w:tc>
        <w:tc>
          <w:tcPr>
            <w:tcW w:w="10025" w:type="dxa"/>
            <w:tcBorders/>
            <w:vAlign w:val="center"/>
          </w:tcPr>
          <w:p>
            <w:pPr>
              <w:pStyle w:val="TableContents"/>
              <w:bidi w:val="0"/>
              <w:spacing w:before="0" w:after="283"/>
              <w:jc w:val="both"/>
              <w:rPr/>
            </w:pPr>
            <w:r>
              <w:rPr>
                <w:b/>
              </w:rPr>
              <w:t>Right to Advancement of Expenses</w:t>
            </w:r>
            <w:r>
              <w:rPr/>
              <w:t>. In addition to the right to indemnification conferred in Article VI Section 1 above,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b/>
                <w:i/>
              </w:rPr>
              <w:t>advancement of expenses</w:t>
            </w:r>
            <w:r>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b/>
                <w:i/>
              </w:rPr>
              <w:t>undertaking</w:t>
            </w:r>
            <w:r>
              <w:rPr/>
              <w:t xml:space="preserve">”), by or on behalf of such Indemnitee, to repay all amounts so advanced if it shall ultimately be determined that such Indemnitee is not entitled to be indemnified under this Article VI or otherwise; </w:t>
            </w:r>
            <w:r>
              <w:rPr>
                <w:i/>
              </w:rPr>
              <w:t>provided, however,</w:t>
            </w:r>
            <w:r>
              <w:rPr/>
              <w:t xml:space="preserve"> the Corporation shall not be required to advance such expenses to a director who is a party to an action, suit or proceeding brought by the Corporation and approved by a majority of the Board of Directors which alleges willful misappropriation of corporate assets by such director, disclosure of confidential information in violation of such director’s fiduciary or contractual obligations to the Corporation, or any other willful and deliberate breach in </w:t>
            </w:r>
            <w:r>
              <w:rPr>
                <w:i/>
              </w:rPr>
              <w:t>bad faith</w:t>
            </w:r>
            <w:r>
              <w:rPr/>
              <w:t xml:space="preserve"> of such director’s duty to the Corporation or its stockholders.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b/>
              </w:rPr>
            </w:pPr>
            <w:r>
              <w:rPr>
                <w:b/>
              </w:rPr>
              <w:t>3.</w:t>
            </w:r>
          </w:p>
        </w:tc>
        <w:tc>
          <w:tcPr>
            <w:tcW w:w="10046" w:type="dxa"/>
            <w:tcBorders/>
            <w:vAlign w:val="center"/>
          </w:tcPr>
          <w:p>
            <w:pPr>
              <w:pStyle w:val="TableContents"/>
              <w:bidi w:val="0"/>
              <w:spacing w:before="0" w:after="283"/>
              <w:jc w:val="both"/>
              <w:rPr/>
            </w:pPr>
            <w:r>
              <w:rPr>
                <w:b/>
              </w:rPr>
              <w:t>Right of Indemnitee to Bring Suit</w:t>
            </w:r>
            <w:r>
              <w:rPr/>
              <w:t>. If a claim under Article VI Section 1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b/>
                <w:i/>
              </w:rPr>
              <w:t>final adjudication</w:t>
            </w:r>
            <w:r>
              <w:rPr/>
              <w:t>”) that, the Indemnitee has not met any applicable standard for indemnification set forth in the DGCL.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Times;Serif" w:hAnsi="Times New Roman;Times;Serif"/>
          <w:b w:val="false"/>
          <w:i w:val="false"/>
          <w:caps w:val="false"/>
          <w:smallCaps w:val="false"/>
          <w:sz w:val="20"/>
          <w:u w:val="single"/>
        </w:rPr>
        <w:t xml:space="preserve">Article VI </w:t>
      </w:r>
      <w:r>
        <w:rPr>
          <w:rFonts w:ascii="Times New Roman;Times;Serif" w:hAnsi="Times New Roman;Times;Serif"/>
          <w:b w:val="false"/>
          <w:i w:val="false"/>
          <w:caps w:val="false"/>
          <w:smallCaps w:val="false"/>
          <w:sz w:val="20"/>
        </w:rPr>
        <w:t>or otherwise shall be on the Corporation.</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b/>
              </w:rPr>
            </w:pPr>
            <w:r>
              <w:rPr>
                <w:b/>
              </w:rPr>
              <w:t>4.</w:t>
            </w:r>
          </w:p>
        </w:tc>
        <w:tc>
          <w:tcPr>
            <w:tcW w:w="10044" w:type="dxa"/>
            <w:tcBorders/>
            <w:vAlign w:val="center"/>
          </w:tcPr>
          <w:p>
            <w:pPr>
              <w:pStyle w:val="TableContents"/>
              <w:bidi w:val="0"/>
              <w:spacing w:before="0" w:after="283"/>
              <w:jc w:val="both"/>
              <w:rPr/>
            </w:pPr>
            <w:r>
              <w:rPr>
                <w:b/>
              </w:rPr>
              <w:t>Indemnification of Other Persons</w:t>
            </w:r>
            <w:r>
              <w:rPr/>
              <w:t xml:space="preserve">. This </w:t>
            </w:r>
            <w:r>
              <w:rPr>
                <w:u w:val="single"/>
              </w:rPr>
              <w:t xml:space="preserve">Article VI </w:t>
            </w:r>
            <w:r>
              <w:rPr/>
              <w:t xml:space="preserve">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u w:val="single"/>
              </w:rPr>
              <w:t xml:space="preserve">Article VI </w:t>
            </w:r>
            <w:r>
              <w:rPr/>
              <w:t xml:space="preserve">with respect to the indemnification and advancement of expenses of Indemnitees under this </w:t>
            </w:r>
            <w:r>
              <w:rPr>
                <w:u w:val="single"/>
              </w:rPr>
              <w:t>Article VI</w:t>
            </w:r>
            <w:r>
              <w:rPr/>
              <w:t>.</w:t>
            </w:r>
          </w:p>
        </w:tc>
      </w:tr>
    </w:tbl>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b/>
              </w:rPr>
            </w:pPr>
            <w:r>
              <w:rPr>
                <w:b/>
              </w:rPr>
              <w:t>5.</w:t>
            </w:r>
          </w:p>
        </w:tc>
        <w:tc>
          <w:tcPr>
            <w:tcW w:w="10045" w:type="dxa"/>
            <w:tcBorders/>
            <w:vAlign w:val="center"/>
          </w:tcPr>
          <w:p>
            <w:pPr>
              <w:pStyle w:val="TableContents"/>
              <w:bidi w:val="0"/>
              <w:spacing w:before="0" w:after="283"/>
              <w:jc w:val="both"/>
              <w:rPr/>
            </w:pPr>
            <w:r>
              <w:rPr>
                <w:b/>
              </w:rPr>
              <w:t>Amendments</w:t>
            </w:r>
            <w:r>
              <w:rPr/>
              <w:t xml:space="preserve">. Any repeal or amendment of this </w:t>
            </w:r>
            <w:r>
              <w:rPr>
                <w:u w:val="single"/>
              </w:rPr>
              <w:t xml:space="preserve">Article VI </w:t>
            </w:r>
            <w:r>
              <w:rPr/>
              <w:t xml:space="preserve">by the Board or the stockholders of the Corporation or by changes in applicable law, or the adoption of any other provision of these ByLaws inconsistent with this </w:t>
            </w:r>
            <w:r>
              <w:rPr>
                <w:u w:val="single"/>
              </w:rPr>
              <w:t>Article VI</w:t>
            </w:r>
            <w:r>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u w:val="single"/>
              </w:rPr>
              <w:t xml:space="preserve">Article VI </w:t>
            </w:r>
            <w:r>
              <w:rPr/>
              <w:t>shall require the affirmative vote of the stockholders holding at least 66.7% of the voting power of all outstanding shares of capital stock of the Corporation.</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b/>
              </w:rPr>
            </w:pPr>
            <w:r>
              <w:rPr>
                <w:b/>
              </w:rPr>
              <w:t>6.</w:t>
            </w:r>
          </w:p>
        </w:tc>
        <w:tc>
          <w:tcPr>
            <w:tcW w:w="10043" w:type="dxa"/>
            <w:tcBorders/>
            <w:vAlign w:val="center"/>
          </w:tcPr>
          <w:p>
            <w:pPr>
              <w:pStyle w:val="TableContents"/>
              <w:bidi w:val="0"/>
              <w:spacing w:before="0" w:after="283"/>
              <w:jc w:val="both"/>
              <w:rPr/>
            </w:pPr>
            <w:r>
              <w:rPr>
                <w:b/>
              </w:rPr>
              <w:t>Certain Definitions</w:t>
            </w:r>
            <w:r>
              <w:rPr/>
              <w:t xml:space="preserve">. For purposes of this </w:t>
            </w:r>
            <w:r>
              <w:rPr>
                <w:u w:val="single"/>
              </w:rPr>
              <w:t>Article VI</w:t>
            </w:r>
            <w:r>
              <w:rPr/>
              <w:t>, (a) references to “</w:t>
            </w:r>
            <w:r>
              <w:rPr>
                <w:b/>
                <w:i/>
              </w:rPr>
              <w:t>other enterprise</w:t>
            </w:r>
            <w:r>
              <w:rPr/>
              <w:t>” shall include any employee benefit plan; (b) references to “</w:t>
            </w:r>
            <w:r>
              <w:rPr>
                <w:b/>
                <w:i/>
              </w:rPr>
              <w:t>fines</w:t>
            </w:r>
            <w:r>
              <w:rPr/>
              <w:t>” shall include any excise taxes assessed on a person with respect to an employee benefit plan; (c) references to “</w:t>
            </w:r>
            <w:r>
              <w:rPr>
                <w:b/>
                <w:i/>
              </w:rPr>
              <w:t>serving at the request of the Corporation</w:t>
            </w:r>
            <w:r>
              <w:rPr/>
              <w:t>”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tc>
      </w:tr>
    </w:tbl>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b/>
              </w:rPr>
            </w:pPr>
            <w:r>
              <w:rPr>
                <w:b/>
              </w:rPr>
              <w:t>7.</w:t>
            </w:r>
          </w:p>
        </w:tc>
        <w:tc>
          <w:tcPr>
            <w:tcW w:w="10031" w:type="dxa"/>
            <w:tcBorders/>
            <w:vAlign w:val="center"/>
          </w:tcPr>
          <w:p>
            <w:pPr>
              <w:pStyle w:val="TableContents"/>
              <w:bidi w:val="0"/>
              <w:spacing w:before="0" w:after="283"/>
              <w:jc w:val="both"/>
              <w:rPr/>
            </w:pPr>
            <w:r>
              <w:rPr>
                <w:b/>
              </w:rPr>
              <w:t>Contract Rights</w:t>
            </w:r>
            <w:r>
              <w:rPr/>
              <w:t xml:space="preserve">. The rights provided to Indemnitees pursuant to this </w:t>
            </w:r>
            <w:r>
              <w:rPr>
                <w:u w:val="single"/>
              </w:rPr>
              <w:t>Article VI s</w:t>
            </w:r>
            <w:r>
              <w:rPr/>
              <w:t>hall be contract rights and such rights shall continue as to an Indemnitee who has ceased to be a director, officer, agent or employee and shall inure to the benefit of the Indemnitee’s heirs, executors and administrators.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b/>
              </w:rPr>
            </w:pPr>
            <w:r>
              <w:rPr>
                <w:b/>
              </w:rPr>
              <w:t>8.</w:t>
            </w:r>
          </w:p>
        </w:tc>
        <w:tc>
          <w:tcPr>
            <w:tcW w:w="10019" w:type="dxa"/>
            <w:tcBorders/>
            <w:vAlign w:val="center"/>
          </w:tcPr>
          <w:p>
            <w:pPr>
              <w:pStyle w:val="TableContents"/>
              <w:bidi w:val="0"/>
              <w:spacing w:before="0" w:after="283"/>
              <w:jc w:val="both"/>
              <w:rPr/>
            </w:pPr>
            <w:r>
              <w:rPr>
                <w:b/>
              </w:rPr>
              <w:t>Severability</w:t>
            </w:r>
            <w:r>
              <w:rPr/>
              <w:t xml:space="preserve">. If any provision or provisions of this </w:t>
            </w:r>
            <w:r>
              <w:rPr>
                <w:u w:val="single"/>
              </w:rPr>
              <w:t xml:space="preserve">Article VI </w:t>
            </w:r>
            <w:r>
              <w:rPr/>
              <w:t xml:space="preserve">shall be held to be invalid, illegal or unenforceable for any reason whatsoever: (a) the validity, legality and enforceability of the remaining provisions of this </w:t>
            </w:r>
            <w:r>
              <w:rPr>
                <w:u w:val="single"/>
              </w:rPr>
              <w:t xml:space="preserve">Article VI </w:t>
            </w:r>
            <w:r>
              <w:rPr/>
              <w:t xml:space="preserve">shall not in any way be affected or impaired thereby; and (b) to the fullest extent possible, the provisions of this </w:t>
            </w:r>
            <w:r>
              <w:rPr>
                <w:u w:val="single"/>
              </w:rPr>
              <w:t xml:space="preserve">Article VI </w:t>
            </w:r>
            <w:r>
              <w:rPr/>
              <w:t xml:space="preserve">(including, without limitation, each such portion of this </w:t>
            </w:r>
            <w:r>
              <w:rPr>
                <w:u w:val="single"/>
              </w:rPr>
              <w:t xml:space="preserve">Article VI </w:t>
            </w:r>
            <w:r>
              <w:rPr/>
              <w:t>containing any such provision held to be invalid, illegal or unenforceable) shall be construed so as to give effect to the intent manifested by the provision held invalid, illegal or unenforceable.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9.</w:t>
            </w:r>
          </w:p>
        </w:tc>
        <w:tc>
          <w:tcPr>
            <w:tcW w:w="10011" w:type="dxa"/>
            <w:tcBorders/>
            <w:vAlign w:val="center"/>
          </w:tcPr>
          <w:p>
            <w:pPr>
              <w:pStyle w:val="TableContents"/>
              <w:bidi w:val="0"/>
              <w:spacing w:before="0" w:after="283"/>
              <w:jc w:val="both"/>
              <w:rPr/>
            </w:pPr>
            <w:r>
              <w:rPr>
                <w:b/>
                <w:smallCaps/>
              </w:rPr>
              <w:t>Non-Exclusivity of Rights</w:t>
            </w:r>
            <w:r>
              <w:rPr/>
              <w:t>. The rights conferred by Sections 1 shall not be exclusive of any other right which such person may have or hereafter acquire under any statute, provision of the Certificate of Incorporation, by-laws, agreements, vote of the stockholders or disinterested directors or otherwise.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10.</w:t>
            </w:r>
          </w:p>
        </w:tc>
        <w:tc>
          <w:tcPr>
            <w:tcW w:w="9895" w:type="dxa"/>
            <w:tcBorders/>
            <w:vAlign w:val="center"/>
          </w:tcPr>
          <w:p>
            <w:pPr>
              <w:pStyle w:val="TableContents"/>
              <w:bidi w:val="0"/>
              <w:spacing w:before="0" w:after="283"/>
              <w:jc w:val="both"/>
              <w:rPr/>
            </w:pPr>
            <w:r>
              <w:rPr>
                <w:b/>
                <w:smallCaps/>
              </w:rPr>
              <w:t>Insurance</w:t>
            </w:r>
            <w:r>
              <w:rPr/>
              <w:t>. The Corporation may maintain insurance, at its expense, to protect itself and any such director, officer, employee or agent of the Corporation or any other corporation, partnership, joint venture, trust or other enterprise against any such expense, liability or loss, whether or not the Corporation would have the power to indemnify such person against such expense, liability or loss under the DGCL.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Stock certificates, dividends, etc.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1.</w:t>
            </w:r>
          </w:p>
        </w:tc>
        <w:tc>
          <w:tcPr>
            <w:tcW w:w="10045" w:type="dxa"/>
            <w:tcBorders/>
            <w:vAlign w:val="center"/>
          </w:tcPr>
          <w:p>
            <w:pPr>
              <w:pStyle w:val="TableContents"/>
              <w:bidi w:val="0"/>
              <w:spacing w:before="0" w:after="283"/>
              <w:jc w:val="both"/>
              <w:rPr/>
            </w:pPr>
            <w:r>
              <w:rPr>
                <w:b/>
                <w:smallCaps/>
              </w:rPr>
              <w:t>Certificates of Stock</w:t>
            </w:r>
            <w:r>
              <w:rPr/>
              <w:t>.  The shares of stock of the Corporation may or may not be represented by certificates; the Board of Directors may provide by 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The certificates representing shares of stock of each class shall be signed by, or in the name of, the Corporation by any two authorized officers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b/>
                <w:smallCaps/>
              </w:rPr>
              <w:t>Transfers of Stock</w:t>
            </w:r>
            <w:r>
              <w:rPr/>
              <w:t>. Stock of the Corporation shall be transferable in the manner prescribed by law and in these bylaws. Any transfer of stock by a stockholder must be made in compliance with the Securities Act of 1933, as amended, as well as similar state securities laws. Transfers of stock shall be made on the books of the Corporation only by the holder of record thereof, by such person’s attorney lawfully constituted in writing and, in the case of certificated shares, upon the surrender of the certificate thereof, which shall be cancelled before a new certificate or uncertificated shares shall be issued. No transfer of stock shall be valid as against the Corporation for any purpose until it shall have been entered in the stock records of the Corporation by an entry showing from and to whom transferred. To the extent designated by the President or the Treasurer of the Corporation, the Corporation may recognize the transfer of fractional uncertificated shares, but shall not otherwise be required to recognize the transfer of fractional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3.</w:t>
            </w:r>
          </w:p>
        </w:tc>
        <w:tc>
          <w:tcPr>
            <w:tcW w:w="10042" w:type="dxa"/>
            <w:tcBorders/>
            <w:vAlign w:val="center"/>
          </w:tcPr>
          <w:p>
            <w:pPr>
              <w:pStyle w:val="TableContents"/>
              <w:bidi w:val="0"/>
              <w:spacing w:before="0" w:after="283"/>
              <w:jc w:val="both"/>
              <w:rPr/>
            </w:pPr>
            <w:r>
              <w:rPr>
                <w:b/>
                <w:smallCaps/>
              </w:rPr>
              <w:t>Record Date</w:t>
            </w:r>
            <w:r>
              <w:rPr/>
              <w:t>. The Board of Directors may fix a record date, which shall not be more than 60 nor less than 10 days before the date of any meeting of stockholders or the time for the other actions hereinafter described, as of which there shall be determined the stockholders who are entitled: to notice of or to vote at any meeting of stockholders or any adjournment thereof; to express consent to corporate action in writing without a meeting; to receive payment of any dividend or other distribution or allotment of any rights; or to exercise any rights with respect to any change, conversion or exchange of stock or with respect to any other lawful 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4.</w:t>
            </w:r>
          </w:p>
        </w:tc>
        <w:tc>
          <w:tcPr>
            <w:tcW w:w="10040" w:type="dxa"/>
            <w:tcBorders/>
            <w:vAlign w:val="center"/>
          </w:tcPr>
          <w:p>
            <w:pPr>
              <w:pStyle w:val="TableContents"/>
              <w:bidi w:val="0"/>
              <w:spacing w:before="0" w:after="283"/>
              <w:jc w:val="both"/>
              <w:rPr/>
            </w:pPr>
            <w:r>
              <w:rPr>
                <w:b/>
                <w:smallCaps/>
              </w:rPr>
              <w:t>Lost, Stolen or Destroyed Certificates</w:t>
            </w:r>
            <w:r>
              <w:rPr/>
              <w:t>. In the event of the loss, theft or destruction of any certificate of stock, the Corporation may issue a new certificate of stock in its place, provided that the owner of the lost, stolen or destroyed certificate, or such owner’s legal representative shall provide the Corporation a written indemnification or bond sufficient to indemnify it against any claim that may be made against it on account of the alleged loss, theft or destruction of any such certificate or the issuance of such new certificate.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5.</w:t>
            </w:r>
          </w:p>
        </w:tc>
        <w:tc>
          <w:tcPr>
            <w:tcW w:w="10016" w:type="dxa"/>
            <w:tcBorders/>
            <w:vAlign w:val="center"/>
          </w:tcPr>
          <w:p>
            <w:pPr>
              <w:pStyle w:val="TableContents"/>
              <w:bidi w:val="0"/>
              <w:spacing w:before="0" w:after="283"/>
              <w:jc w:val="both"/>
              <w:rPr/>
            </w:pPr>
            <w:r>
              <w:rPr>
                <w:b/>
                <w:smallCaps/>
              </w:rPr>
              <w:t>Regulations</w:t>
            </w:r>
            <w:r>
              <w:rPr/>
              <w:t>. The issue, transfer, conversion and registration of certificates of stock shall be governed by such other regulations as the Board of Directors may establish.</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6.</w:t>
            </w:r>
          </w:p>
        </w:tc>
        <w:tc>
          <w:tcPr>
            <w:tcW w:w="10038" w:type="dxa"/>
            <w:tcBorders/>
            <w:vAlign w:val="center"/>
          </w:tcPr>
          <w:p>
            <w:pPr>
              <w:pStyle w:val="TableContents"/>
              <w:bidi w:val="0"/>
              <w:spacing w:before="0" w:after="283"/>
              <w:jc w:val="both"/>
              <w:rPr/>
            </w:pPr>
            <w:r>
              <w:rPr>
                <w:b/>
                <w:u w:val="single"/>
              </w:rPr>
              <w:t>DIVIDENDS.</w:t>
            </w:r>
            <w:r>
              <w:rPr/>
              <w:t> Subject to applicable law and the Certificate of Incorporation, dividends upon the shares of capital stock of the Corporation may be declared by the Board of Directors at any regular or special meeting of the Board of Directors. Dividends may be paid in cash, in property, or in shares of the Corporation’s capital stock, unless otherwise provided by applicable law or the Certificate of Incorporation.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1.</w:t>
            </w:r>
          </w:p>
        </w:tc>
        <w:tc>
          <w:tcPr>
            <w:tcW w:w="10039" w:type="dxa"/>
            <w:tcBorders/>
            <w:vAlign w:val="center"/>
          </w:tcPr>
          <w:p>
            <w:pPr>
              <w:pStyle w:val="TableContents"/>
              <w:bidi w:val="0"/>
              <w:spacing w:before="0" w:after="283"/>
              <w:jc w:val="both"/>
              <w:rPr/>
            </w:pPr>
            <w:r>
              <w:rPr>
                <w:b/>
                <w:smallCaps/>
              </w:rPr>
              <w:t>Notices</w:t>
            </w:r>
            <w:r>
              <w:rPr/>
              <w:t>. Whenever notice is required to be given to any stockholder, director, officer, employee or agent, such requirement shall not be construed to mean personal notice. If mailed, notice is effectively given when deposited in the United States mail, postage prepaid, directed to the stockholder, director, officer, employee or agent at his or her address as it appears on the records of the Corporation. The time when such notice is dispatched shall be the time of the giving of the notice.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2.</w:t>
            </w:r>
          </w:p>
        </w:tc>
        <w:tc>
          <w:tcPr>
            <w:tcW w:w="10046" w:type="dxa"/>
            <w:tcBorders/>
            <w:vAlign w:val="center"/>
          </w:tcPr>
          <w:p>
            <w:pPr>
              <w:pStyle w:val="TableContents"/>
              <w:bidi w:val="0"/>
              <w:spacing w:before="0" w:after="283"/>
              <w:jc w:val="both"/>
              <w:rPr/>
            </w:pPr>
            <w:r>
              <w:rPr>
                <w:b/>
                <w:smallCaps/>
              </w:rPr>
              <w:t>Electronic Transmission</w:t>
            </w:r>
            <w:r>
              <w:rPr/>
              <w:t>. Without limiting the manner by which notice otherwise may be given effectively to stockholders, directors, officers, employees or agents, any notice to stockholders, directors, officers, employees or agents given by the Corporation shall be effective if given by a form of electronic transmission consented to by the stockholder, director, officer, employee or agent to whom the notice is given. Any such consent shall be revocable by the stockholder, director, officer, employee or agent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3.</w:t>
            </w:r>
          </w:p>
        </w:tc>
        <w:tc>
          <w:tcPr>
            <w:tcW w:w="10035" w:type="dxa"/>
            <w:tcBorders/>
            <w:vAlign w:val="center"/>
          </w:tcPr>
          <w:p>
            <w:pPr>
              <w:pStyle w:val="TableContents"/>
              <w:bidi w:val="0"/>
              <w:spacing w:before="0" w:after="283"/>
              <w:jc w:val="both"/>
              <w:rPr/>
            </w:pPr>
            <w:r>
              <w:rPr>
                <w:b/>
                <w:smallCaps/>
              </w:rPr>
              <w:t>Waivers</w:t>
            </w:r>
            <w:r>
              <w:rPr/>
              <w:t>. 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Compensation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283"/>
              <w:jc w:val="both"/>
              <w:rPr/>
            </w:pPr>
            <w:r>
              <w:rPr/>
              <w:t>The directors may be paid their expenses for attendance at each meeting of the Board of Directors and may be paid a fixed sum for attendance at each meeting of the Board of Directors and/or a stated salary as directors. No such payment shall preclude any director from serving the Corporation in any other capacity and receiving compensation therefor. Members of special or standing committees may be allowed similar reimbursement and compensation for serving on the committees and/or attending committee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FORUM</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1.</w:t>
            </w:r>
          </w:p>
        </w:tc>
        <w:tc>
          <w:tcPr>
            <w:tcW w:w="100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Unless the Corporation consents in writing to the selection of an alternative </w:t>
            </w:r>
            <w:r>
              <w:rPr>
                <w:rFonts w:ascii="Times New Roman;Times;Serif" w:hAnsi="Times New Roman;Times;Serif"/>
                <w:i/>
              </w:rPr>
              <w:t>forum</w:t>
            </w:r>
            <w:r>
              <w:rPr>
                <w:rFonts w:ascii="Times New Roman;Times;Serif" w:hAnsi="Times New Roman;Times;Serif"/>
              </w:rPr>
              <w:t>, (a) the Court of Chancery (the “</w:t>
            </w:r>
            <w:r>
              <w:rPr>
                <w:rFonts w:ascii="Times New Roman;Times;Serif" w:hAnsi="Times New Roman;Times;Serif"/>
                <w:u w:val="single"/>
              </w:rPr>
              <w:t>Chancery Court</w:t>
            </w:r>
            <w:r>
              <w:rPr>
                <w:rFonts w:ascii="Times New Roman;Times;Serif" w:hAnsi="Times New Roman;Times;Serif"/>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w:t>
            </w:r>
            <w:r>
              <w:rPr>
                <w:rFonts w:ascii="Times New Roman;Times;Serif" w:hAnsi="Times New Roman;Times;Serif"/>
                <w:i/>
              </w:rPr>
              <w:t>forum</w:t>
            </w:r>
            <w:r>
              <w:rPr>
                <w:rFonts w:ascii="Times New Roman;Times;Serif" w:hAnsi="Times New Roman;Times;Serif"/>
              </w:rPr>
              <w:t xml:space="preserve">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these Bylaws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w:t>
            </w:r>
            <w:r>
              <w:rPr>
                <w:rFonts w:ascii="Times New Roman;Times;Serif" w:hAnsi="Times New Roman;Times;Serif"/>
                <w:i/>
              </w:rPr>
              <w:t>forum</w:t>
            </w:r>
            <w:r>
              <w:rPr>
                <w:rFonts w:ascii="Times New Roman;Times;Serif" w:hAnsi="Times New Roman;Times;Serif"/>
              </w:rPr>
              <w:t xml:space="preserve">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Times;Serif" w:hAnsi="Times New Roman;Times;Serif"/>
                <w:u w:val="single"/>
              </w:rPr>
              <w:t>Foreign Action</w:t>
            </w:r>
            <w:r>
              <w:rPr>
                <w:rFonts w:ascii="Times New Roman;Times;Serif" w:hAnsi="Times New Roman;Times;Serif"/>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Exchange Act, as amended, or any other claim for which the federal courts of the United States have exclusive jurisdiction.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CORPORATE OPPORTUNITY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1.</w:t>
            </w:r>
          </w:p>
        </w:tc>
        <w:tc>
          <w:tcPr>
            <w:tcW w:w="10046" w:type="dxa"/>
            <w:tcBorders/>
            <w:vAlign w:val="center"/>
          </w:tcPr>
          <w:p>
            <w:pPr>
              <w:pStyle w:val="TableContents"/>
              <w:bidi w:val="0"/>
              <w:spacing w:before="0" w:after="283"/>
              <w:jc w:val="both"/>
              <w:rPr/>
            </w:pPr>
            <w:r>
              <w:rPr/>
              <w:t>The Corporation renounces, to the fullest extent permitted by law, any interest or expectancy of the Corporation in, or in being offered an opportunity to participate in, any Excluded Opportunity. An “</w:t>
            </w:r>
            <w:r>
              <w:rPr>
                <w:b/>
              </w:rPr>
              <w:t>Excluded Opportunity</w:t>
            </w:r>
            <w:r>
              <w:rPr/>
              <w:t>” is any matter, transaction or interest that is presented to, or acquired, created or developed by, or which otherwise comes into the possession of any stockholder or any partner, member, director, stockholder, employee, affiliate or agent of any such holder, other than someone who is an employee of the Corporation or any of its subsidiaries (collectively, “</w:t>
            </w:r>
            <w:r>
              <w:rPr>
                <w:b/>
              </w:rPr>
              <w:t>Covered Persons</w:t>
            </w:r>
            <w:r>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XI will only be prospective and will not affect the rights under this Article XI in effect at the time of the occurrence of any actions or omissions to act giving rise to liability. Notwithstanding anything to the contrary contained elsewhere in these Bylaws, the affirmative vote of at least 66.7% of the voting power of all outstanding shares of capital stock of the Corporation.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1.</w:t>
            </w:r>
          </w:p>
        </w:tc>
        <w:tc>
          <w:tcPr>
            <w:tcW w:w="10031" w:type="dxa"/>
            <w:tcBorders/>
            <w:vAlign w:val="center"/>
          </w:tcPr>
          <w:p>
            <w:pPr>
              <w:pStyle w:val="TableContents"/>
              <w:bidi w:val="0"/>
              <w:spacing w:before="0" w:after="283"/>
              <w:jc w:val="both"/>
              <w:rPr/>
            </w:pPr>
            <w:r>
              <w:rPr>
                <w:b/>
                <w:smallCaps/>
              </w:rPr>
              <w:t>Facsimile Signature</w:t>
            </w:r>
            <w:r>
              <w:rPr/>
              <w:t>. In addition to the provisions for the use of facsimile signatures elsewhere specifically authorized in these by-laws, facsimile signatures of any director or officer of the Corporation may be used whenever and as authorized by the Board of Directors or a committee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283"/>
              <w:jc w:val="both"/>
              <w:rPr/>
            </w:pPr>
            <w:r>
              <w:rPr>
                <w:b/>
                <w:smallCaps/>
              </w:rPr>
              <w:t>Corporate Seal</w:t>
            </w:r>
            <w:r>
              <w:rPr/>
              <w:t>. The Board of Directors may provide a suitable seal, containing the name of the Corporation. The secretary of the Corporation shall be in charge of the seal. If and when so directed by the Board of Directors or a committee thereof, a duplicate of the seal may be kept and used by the treasurer or by the assistant secretary or assistant treasurer.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3.</w:t>
            </w:r>
          </w:p>
        </w:tc>
        <w:tc>
          <w:tcPr>
            <w:tcW w:w="10038" w:type="dxa"/>
            <w:tcBorders/>
            <w:vAlign w:val="center"/>
          </w:tcPr>
          <w:p>
            <w:pPr>
              <w:pStyle w:val="TableContents"/>
              <w:bidi w:val="0"/>
              <w:spacing w:before="0" w:after="283"/>
              <w:jc w:val="both"/>
              <w:rPr/>
            </w:pPr>
            <w:r>
              <w:rPr>
                <w:b/>
                <w:smallCaps/>
              </w:rPr>
              <w:t>Reliance Upon Books, Reports, and Records</w:t>
            </w:r>
            <w:r>
              <w:rPr/>
              <w:t>. Each director, each member of any committee designated by the Board of Directors, and each officer of the Corporation shall, in performance of his/her duties, be fully protected in relying in good faith upon the books of account or records of the Corporation, including reports made to Corporation by any of its officers, by an independent certified public accountant, or by an appraiser selected with reasonable care.</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15"/>
        <w:gridCol w:w="8585"/>
      </w:tblGrid>
      <w:tr>
        <w:trPr/>
        <w:tc>
          <w:tcPr>
            <w:tcW w:w="215" w:type="dxa"/>
            <w:tcBorders/>
            <w:vAlign w:val="center"/>
          </w:tcPr>
          <w:p>
            <w:pPr>
              <w:pStyle w:val="TableContents"/>
              <w:bidi w:val="0"/>
              <w:spacing w:before="0" w:after="283"/>
              <w:jc w:val="left"/>
              <w:rPr/>
            </w:pPr>
            <w:r>
              <w:rPr/>
              <w:t>4.</w:t>
            </w:r>
          </w:p>
        </w:tc>
        <w:tc>
          <w:tcPr>
            <w:tcW w:w="8585" w:type="dxa"/>
            <w:tcBorders/>
            <w:vAlign w:val="center"/>
          </w:tcPr>
          <w:p>
            <w:pPr>
              <w:pStyle w:val="TableContents"/>
              <w:bidi w:val="0"/>
              <w:spacing w:before="0" w:after="283"/>
              <w:jc w:val="both"/>
              <w:rPr/>
            </w:pPr>
            <w:r>
              <w:rPr>
                <w:b/>
                <w:smallCaps/>
              </w:rPr>
              <w:t>Fiscal Year</w:t>
            </w:r>
            <w:r>
              <w:rPr/>
              <w:t>. The fiscal year of the Corporation shall be fixed by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b/>
                <w:smallCaps/>
              </w:rPr>
              <w:t>Time Periods</w:t>
            </w:r>
            <w:r>
              <w:rPr/>
              <w:t>. In applying any provision of these by-laws which require that an act be done during a period of specified number of days prior to an event, calendar days shall be used for determining the period, and the day of the event shall be included.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6.</w:t>
            </w:r>
          </w:p>
        </w:tc>
        <w:tc>
          <w:tcPr>
            <w:tcW w:w="10039" w:type="dxa"/>
            <w:tcBorders/>
            <w:vAlign w:val="center"/>
          </w:tcPr>
          <w:p>
            <w:pPr>
              <w:pStyle w:val="TableContents"/>
              <w:bidi w:val="0"/>
              <w:spacing w:before="0" w:after="283"/>
              <w:jc w:val="both"/>
              <w:rPr/>
            </w:pPr>
            <w:r>
              <w:rPr>
                <w:b/>
                <w:smallCaps/>
              </w:rPr>
              <w:t>Bank Account and Loan Authorization</w:t>
            </w:r>
            <w:r>
              <w:rPr/>
              <w:t>. Resolutions required by the banks and/or other depository and lending institutions which refer to Board of Directors resolutions may be signed by two officers of the Corporation, one of which shall be the Chief Executive Officer or President or President or Vice-President and the other endorsement shall be the Secretary or Treasurer. A copy of such resolution shall be immediately filled in the records and the minute books of the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pPr>
            <w:r>
              <w:rPr/>
              <w:t>These Bylaws may be supplemented, amended, or repealed by the Board or by a vote of stockholders entitled to cast at least a majority of the votes which all stockholders are entitled to cast thereon, at any regular or special meeting of the stockholders, duly convened after notice to the stockholders of that purpose; provided, that (a) the Board of Directors may not alter, amend or repeal any provision of these Bylaws which under the DGCL,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 as set forth in this Section..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The undersigned, being the duly elected and acting Secretary of DiamiR Biosciences Corp., a Delaware corporation, hereby certifies the foregoing By-laws of such corporation duly adopted by its Board of Directors.</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670"/>
        <w:gridCol w:w="1880"/>
      </w:tblGrid>
      <w:tr>
        <w:trPr/>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July 20, 2026</w:t>
            </w:r>
          </w:p>
        </w:tc>
        <w:tc>
          <w:tcPr>
            <w:tcW w:w="1880" w:type="dxa"/>
            <w:tcBorders/>
            <w:vAlign w:val="center"/>
          </w:tcPr>
          <w:p>
            <w:pPr>
              <w:pStyle w:val="TableContents"/>
              <w:bidi w:val="0"/>
              <w:spacing w:before="0" w:after="283"/>
              <w:jc w:val="both"/>
              <w:rPr/>
            </w:pPr>
            <w:r>
              <w:rPr/>
              <w:t> </w:t>
            </w:r>
          </w:p>
        </w:tc>
      </w:tr>
      <w:tr>
        <w:trPr/>
        <w:tc>
          <w:tcPr>
            <w:tcW w:w="1670"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pPr>
            <w:r>
              <w:rPr/>
              <w:t> </w:t>
            </w:r>
          </w:p>
        </w:tc>
      </w:tr>
      <w:tr>
        <w:trPr/>
        <w:tc>
          <w:tcPr>
            <w:tcW w:w="1670"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Niki Biosolutions, Inc.</w:t>
            </w:r>
          </w:p>
        </w:tc>
      </w:tr>
      <w:tr>
        <w:trPr/>
        <w:tc>
          <w:tcPr>
            <w:tcW w:w="1670"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pPr>
            <w:r>
              <w:rPr/>
              <w:t> </w:t>
            </w:r>
          </w:p>
        </w:tc>
      </w:tr>
      <w:tr>
        <w:trPr/>
        <w:tc>
          <w:tcPr>
            <w:tcW w:w="1670" w:type="dxa"/>
            <w:tcBorders/>
            <w:vAlign w:val="center"/>
          </w:tcPr>
          <w:p>
            <w:pPr>
              <w:pStyle w:val="TableContents"/>
              <w:bidi w:val="0"/>
              <w:spacing w:before="0" w:after="283"/>
              <w:jc w:val="both"/>
              <w:rPr/>
            </w:pPr>
            <w:r>
              <w:rPr/>
              <w:t> </w:t>
            </w:r>
          </w:p>
        </w:tc>
        <w:tc>
          <w:tcPr>
            <w:tcW w:w="188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670"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9826201ex3-3.htm"/>
      <w:bookmarkStart w:id="33" w:name="ksea029826201ex33"/>
      <w:bookmarkEnd w:id="32"/>
      <w:bookmarkEnd w:id="33"/>
      <w:r>
        <w:rPr>
          <w:rFonts w:ascii="Times New Roman;Times;Serif" w:hAnsi="Times New Roman;Times;Serif"/>
          <w:b/>
          <w:i w:val="false"/>
          <w:caps w:val="false"/>
          <w:smallCaps w:val="false"/>
          <w:sz w:val="20"/>
        </w:rPr>
        <w:t>Exhibit 3.3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LIMITATIONS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DISTRIBUTING SERIES 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Alidad Mireskandari do hereby certifies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am the President and Chief Operating Officer of Niki BioSolutions,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Corporation is authorized to issue 10,000,000 shares of preferred stock, none of which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resolutions were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of incorporation of the Corporation provides for a class of its authorized stock known as preferred stock, consisting of 10,000,000 shares, $0.0001 par value per share, issuable from time to time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desire of the Board of Directors, pursuant to its authority as aforesaid, to fix the rights, preferences, restrictions and other matters relating to a series of the preferred stock, which shall consist of up to 1,810,000 shares of the preferred stock which the Corporation has the authority to issue,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hereof,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given such term in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7(d).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shall be designated as Series A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up to 1,810,000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$0.0001 per share and a stated value equal to $0.0001, subject to increase set forth in Section 3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Dividends and Distribution</w:t>
      </w:r>
      <w:r>
        <w:rPr>
          <w:rFonts w:ascii="Times New Roman;Times;Serif" w:hAnsi="Times New Roman;Times;Serif"/>
          <w:b w:val="false"/>
          <w:i w:val="false"/>
          <w:caps w:val="false"/>
          <w:smallCaps w:val="false"/>
          <w:sz w:val="20"/>
        </w:rPr>
        <w:t>. Holders shall not be entitled to receive, and the Corporation shall not pay, regularly scheduled dividends on this Preferred Stock; provided that in the event that the Corporation liquidates for cash all or any portion of its Alzheon Common Stock (an “</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in the event that the Board of Directors, in its sole discretion, determines to make a distribution of the proceeds of such Asset Sale to its equity holder, the Corporation shall distribute to the Holders of the Preferred Stock, in the aggregate and ratably, 70% of the net cash proceeds received by the Corporation from any such Asset Sale (“</w:t>
      </w:r>
      <w:r>
        <w:rPr>
          <w:rFonts w:ascii="Times New Roman;Times;Serif" w:hAnsi="Times New Roman;Times;Serif"/>
          <w:b w:val="false"/>
          <w:i w:val="false"/>
          <w:caps w:val="false"/>
          <w:smallCaps w:val="false"/>
          <w:sz w:val="20"/>
          <w:u w:val="single"/>
        </w:rPr>
        <w:t>Cash Distribution</w:t>
      </w:r>
      <w:r>
        <w:rPr>
          <w:rFonts w:ascii="Times New Roman;Times;Serif" w:hAnsi="Times New Roman;Times;Serif"/>
          <w:b w:val="false"/>
          <w:i w:val="false"/>
          <w:caps w:val="false"/>
          <w:smallCaps w:val="false"/>
          <w:sz w:val="20"/>
        </w:rPr>
        <w:t>”). “Net cash proceeds” shall mean any cash proceeds received by the Corporation from the Asset Sale less any fees and expenses, including the payment of any corporate taxes, incurred by the Corporation in connection with the Asset Sale. Such Cash Distribution shall be made within ten (10) business days of receipt of the proceeds of the Asset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xml:space="preserve">. 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 solely as it relates to the Cash Distributions, (c) amend its certificate of incorporation or other charter documents in any manner that adversely affects any rights of the Holders, (d) increase the number of authorized shares of Preferred Stock, or (e) enter into any agreement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Cash Distributions it may be entitled to thereon and any other fees or liquidated damages then due and owing thereon under this Certificate of Designation, for each share of Preferred Stock,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Conversion. </w:t>
      </w:r>
      <w:r>
        <w:rPr>
          <w:rFonts w:ascii="Times New Roman;Times;Serif" w:hAnsi="Times New Roman;Times;Serif"/>
          <w:b w:val="false"/>
          <w:i w:val="false"/>
          <w:caps w:val="false"/>
          <w:smallCaps w:val="false"/>
          <w:sz w:val="20"/>
        </w:rPr>
        <w:t>The Preferred Stock is not convertible into or exchangeable for common stock or other securities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Alidad Mireskandari, e-mail address amireskandari@diamirbio.com, or such other e-mail address or address as the Corporation may specify for such purposes by notice to the Holders delivered in accordance with this Section 7.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supplementally provided to the Corporation.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Business Day after the date of transmission, if such notice or communication is delivered via e-mail attachment at the e-mail address set forth in this Section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New York lands, without regard to the principles of conflict of laws thereof. All legal proceedings concerning the interpretation, enforcement and defense of the transactions contemplated hereby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Termination; Status of Redeemed Preferred Stock</w:t>
      </w:r>
      <w:r>
        <w:rPr>
          <w:rFonts w:ascii="Times New Roman;Times;Serif" w:hAnsi="Times New Roman;Times;Serif"/>
          <w:b w:val="false"/>
          <w:i w:val="false"/>
          <w:caps w:val="false"/>
          <w:smallCaps w:val="false"/>
          <w:sz w:val="20"/>
        </w:rPr>
        <w:t>. Shares of Preferred Stock shall terminate and no longer be outstanding upon the completion in full of the Asset Sale and Cash Distribution. Thereafter, such shares shall resume the status of authorized but unissued shares of preferred stock and shall no longer be designated as Distributing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Designation shall be effective as of July 20, 2026, immediately after the Corporation’s Certificate of Incorporation is effective.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this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both"/>
        <w:rPr>
          <w:caps w:val="false"/>
          <w:smallCaps w:val="false"/>
        </w:rPr>
      </w:pPr>
      <w:r>
        <w:rPr>
          <w:caps w:val="false"/>
          <w:smallCaps w:val="false"/>
        </w:rPr>
        <w:t> </w:t>
      </w:r>
    </w:p>
    <w:tbl>
      <w:tblPr>
        <w:tblW w:w="3650" w:type="dxa"/>
        <w:jc w:val="left"/>
        <w:tblInd w:w="0" w:type="dxa"/>
        <w:tblLayout w:type="fixed"/>
        <w:tblCellMar>
          <w:top w:w="0" w:type="dxa"/>
          <w:left w:w="0" w:type="dxa"/>
          <w:bottom w:w="28" w:type="dxa"/>
          <w:right w:w="0" w:type="dxa"/>
        </w:tblCellMar>
      </w:tblPr>
      <w:tblGrid>
        <w:gridCol w:w="3575"/>
        <w:gridCol w:w="75"/>
      </w:tblGrid>
      <w:tr>
        <w:trPr/>
        <w:tc>
          <w:tcPr>
            <w:tcW w:w="3575" w:type="dxa"/>
            <w:tcBorders>
              <w:bottom w:val="single" w:sz="12" w:space="0" w:color="000000"/>
            </w:tcBorders>
            <w:vAlign w:val="center"/>
          </w:tcPr>
          <w:p>
            <w:pPr>
              <w:pStyle w:val="TableContents"/>
              <w:bidi w:val="0"/>
              <w:spacing w:before="0" w:after="283"/>
              <w:jc w:val="both"/>
              <w:rPr/>
            </w:pPr>
            <w:r>
              <w:rPr/>
              <w:t>/s/ Alidad Mireskandari</w:t>
            </w:r>
          </w:p>
        </w:tc>
        <w:tc>
          <w:tcPr>
            <w:tcW w:w="75" w:type="dxa"/>
            <w:tcBorders/>
            <w:tcMar>
              <w:bottom w:w="0" w:type="dxa"/>
            </w:tcMar>
            <w:vAlign w:val="center"/>
          </w:tcPr>
          <w:p>
            <w:pPr>
              <w:pStyle w:val="TableContents"/>
              <w:bidi w:val="0"/>
              <w:spacing w:before="0" w:after="283"/>
              <w:jc w:val="both"/>
              <w:rPr/>
            </w:pPr>
            <w:r>
              <w:rPr/>
              <w:t> </w:t>
            </w:r>
          </w:p>
        </w:tc>
      </w:tr>
      <w:tr>
        <w:trPr/>
        <w:tc>
          <w:tcPr>
            <w:tcW w:w="35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Alidad Mireskandari</w:t>
            </w:r>
          </w:p>
        </w:tc>
        <w:tc>
          <w:tcPr>
            <w:tcW w:w="75" w:type="dxa"/>
            <w:tcBorders/>
            <w:tcMar>
              <w:bottom w:w="0" w:type="dxa"/>
            </w:tcMar>
            <w:vAlign w:val="center"/>
          </w:tcPr>
          <w:p>
            <w:pPr>
              <w:pStyle w:val="TableContents"/>
              <w:bidi w:val="0"/>
              <w:spacing w:before="0" w:after="283"/>
              <w:jc w:val="both"/>
              <w:rPr/>
            </w:pPr>
            <w:r>
              <w:rPr/>
              <w:t> </w:t>
            </w:r>
          </w:p>
        </w:tc>
      </w:tr>
      <w:tr>
        <w:trPr/>
        <w:tc>
          <w:tcPr>
            <w:tcW w:w="35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President and Chief Operating Officer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4" w:name="ea029826201ex10-4.htm"/>
      <w:bookmarkStart w:id="35" w:name="ksea029826201ex104"/>
      <w:bookmarkEnd w:id="34"/>
      <w:bookmarkEnd w:id="35"/>
      <w:r>
        <w:rPr>
          <w:rFonts w:ascii="Times New Roman;Times;Serif" w:hAnsi="Times New Roman;Times;Serif"/>
          <w:b/>
          <w:i w:val="false"/>
          <w:caps w:val="false"/>
          <w:smallCaps w:val="false"/>
          <w:sz w:val="20"/>
        </w:rPr>
        <w:t>Exhibit 10.4</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StockHOLDERS AGREEMENT</w:t>
      </w:r>
    </w:p>
    <w:p>
      <w:pPr>
        <w:pStyle w:val="TextBody"/>
        <w:bidi w:val="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 (F/K/A APTORUM GROUP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r>
        <w:rPr>
          <w:rFonts w:ascii="Times New Roman;Times;Serif" w:hAnsi="Times New Roman;Times;Serif"/>
          <w:b/>
          <w:i w:val="false"/>
          <w:caps/>
          <w:sz w:val="20"/>
        </w:rPr>
        <w:t>Stock</w:t>
      </w:r>
      <w:r>
        <w:rPr>
          <w:rFonts w:ascii="Times New Roman;Times;Serif" w:hAnsi="Times New Roman;Times;Serif"/>
          <w:b/>
          <w:i w:val="false"/>
          <w:caps w:val="false"/>
          <w:smallCaps w:val="false"/>
          <w:sz w:val="20"/>
        </w:rPr>
        <w:t>HOLDERS THAT ARE SIGNATORIES HERETO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20,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StockHOLDERS AGREEMENT</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w:t>
      </w:r>
      <w:r>
        <w:rPr>
          <w:rFonts w:ascii="Times New Roman;Times;Serif" w:hAnsi="Times New Roman;Times;Serif"/>
          <w:b/>
          <w:i w:val="false"/>
          <w:caps/>
          <w:sz w:val="20"/>
        </w:rPr>
        <w:t>Stock</w:t>
      </w:r>
      <w:r>
        <w:rPr>
          <w:rFonts w:ascii="Times New Roman;Times;Serif" w:hAnsi="Times New Roman;Times;Serif"/>
          <w:b/>
          <w:i w:val="false"/>
          <w:caps w:val="false"/>
          <w:smallCaps w:val="false"/>
          <w:sz w:val="20"/>
        </w:rPr>
        <w:t>HOLDERS AGREEMENT</w:t>
      </w:r>
      <w:r>
        <w:rPr>
          <w:rFonts w:ascii="Times New Roman;Times;Serif" w:hAnsi="Times New Roman;Times;Serif"/>
          <w:b w:val="false"/>
          <w:i w:val="false"/>
          <w:caps w:val="false"/>
          <w:smallCaps w:val="false"/>
          <w:sz w:val="20"/>
        </w:rPr>
        <w:t xml:space="preserve"> (as it may be amended from time to time in accordance with the terms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20, 2026, is made by and among Niki BioSolutions, Inc., a Delaware corporation (f/k/a Aptorum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stockholders of the Company who are or become signatories hereto (each,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July 14, 2025, the Company entered into that certain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between the Company and DiamiR Biosciences Corp., a Delaware corporation (“</w:t>
      </w:r>
      <w:r>
        <w:rPr>
          <w:rFonts w:ascii="Times New Roman;Times;Serif" w:hAnsi="Times New Roman;Times;Serif"/>
          <w:b/>
          <w:i w:val="false"/>
          <w:caps w:val="false"/>
          <w:smallCaps w:val="false"/>
          <w:sz w:val="20"/>
        </w:rPr>
        <w:t>DiamiR</w:t>
      </w:r>
      <w:r>
        <w:rPr>
          <w:rFonts w:ascii="Times New Roman;Times;Serif" w:hAnsi="Times New Roman;Times;Serif"/>
          <w:b w:val="false"/>
          <w:i w:val="false"/>
          <w:caps w:val="false"/>
          <w:smallCaps w:val="false"/>
          <w:sz w:val="20"/>
        </w:rPr>
        <w:t>”), pursuant to which, among other things, upon the terms and subject to the conditions set forth therein, the Company will form a direct wholly owned subsidiary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Merger Sub will merge with and into DiamiR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DiamiR being the surviving corporation of the Merger and be a wholly owned subsidiary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and prior to the closing of the Merger, Aptorum Group Limited will change its jurisdiction of incorporation from Cayman Islands to Delaware, United States and change its name to Niki BioSolutions, Inc.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the Company shall issue shares of common stock to its stockholders and the stockholders of DiamiR at the closing of Merger, and immediately following the Merger, DiamiR will become a wholly owned subsidiary of the Company and the Stockholders will become stockholders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Merger, the Stockholders collectively owned 76.5% of the issued and outstanding shares of DiamiR’s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to the closing of the Merger, the Company and the Stockholders have entered into this Agreement;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Stockholders desire to enter into this Agreement to set forth their understanding and agreement as to certain rights and obligations of the Stockholders and the Company upon and after the consummation of the Merger.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covenants and agreements of the Parties hereinafter set forth and for other good and valuable consideration, the receipt and sufficiency of which are hereby acknowledged, the Parties hereby agree, intending to be legally bound, as follows:</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2027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3.01(b)(iii)(A)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(a) with respect to the Primary Stockholder, any Person directly or indirectly controlling or controlled by or under direct or indirect common control with such specified Person, and (b) with respect to any other Person, any Person directly or indirectly controlling or controlled by or under direct or indirect common control with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hereof, (i) each Primary Stockholder shall be deemed to be an Affiliate of every other Primary Stockholder, (ii) neither the Company nor any Subsidiary of the Company shall be deemed to be an Affiliate of any Stockholder, and (iii) except as set forth in clause (i) above, no Stockholder shall be deemed to be an Affiliate of any other Stockholder. For purposes of this definition, “control” means the possession, directly or indirectly, of the power to direct or cause the direction of the management and policies of a Person, whether through ownership of voting securities or partnership or other ownership interests, by contract, as trustee or executor, or otherwise.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Appointment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has the meaning set forth in Rule 13d-3 of the Securities Exchange Act of 1934, but without reference to clause (d)(1) of such Rule.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day on which banking institutions in New York, New York are authorized or obligated by Law or executive order to close.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the Company Shares and any other class or series of capital stock or other equity securities of the Company, whether authorized or issued as of or after the date of this Agreement.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w:t>
      </w:r>
      <w:r>
        <w:rPr>
          <w:rFonts w:ascii="Times New Roman;Times;Serif" w:hAnsi="Times New Roman;Times;Serif"/>
          <w:b w:val="false"/>
          <w:i w:val="false"/>
          <w:caps w:val="false"/>
          <w:smallCaps w:val="false"/>
          <w:sz w:val="20"/>
        </w:rPr>
        <w:t>” means common stock of the Company and any and all securities of any kind whatsoever of the Company that may be issued by the Company after the date hereof in respect of, in exchange for, or in substitution of, Company Shares, pursuant to any stock dividends, splits, reverse splits, combinations, reclassifications, recapitalizations, reorganizations or any other similar transaction occurring after the date hereof.</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 of Directors.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i w:val="false"/>
          <w:caps w:val="false"/>
          <w:smallCaps w:val="false"/>
          <w:sz w:val="20"/>
        </w:rPr>
        <w:t>Fall Away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means the certificate of incorporation of the Company, as amended, modified or restated from time to time, and the by-laws of the Company, as amended, modified or restated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national, transnational, supranational, foreign, federal, state, provincial, county, municipal or local governmental authority, or any subdivision thereof, any regulatory or administrative agency or authority, department, board, bureau agency, instrumentality or commission, including any political subdivision thereof, or any court, tribunal, administrative hearing body, arbitration panel or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means a Director who qualifies, as of the date of such Director’s election or appointment to the Board of Directors and as of any other date on which the determination is being made, as an “independent director” pursuant to SEC rules and applicable listing standards, as determined by the Board of Directors without the vote of such Director (or, in the case of any Primary Stockholder Designee, any other Primary Stockholder Designee that the remaining Directors have not determined to be an Independent Director).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U.S. or non-U.S. supranational, federal, state or local law (statutory, common or otherwise), constitution, treaty, convention, ordinance, code, rule, regulation, policy, guideline, executive order, order or other similar requirement enacted, adopted, promulgated or applied by a Governmental Authority, in each case as amended or supplemented from time to time and including any rules, regulations or interpretations promulgated thereunder.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has the meaning set forth in the recitals.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has the meaning set forth in the recitals.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Necessary Action</w:t>
      </w:r>
      <w:r>
        <w:rPr>
          <w:rFonts w:ascii="Times New Roman;Times;Serif" w:hAnsi="Times New Roman;Times;Serif"/>
          <w:b w:val="false"/>
          <w:i w:val="false"/>
          <w:caps w:val="false"/>
          <w:smallCaps w:val="false"/>
          <w:sz w:val="20"/>
        </w:rPr>
        <w:t>” means, with respect to a specified result, all actions (to the extent such actions are within such party’s direct or indirect control (it being understood that anything within the control of the Board of Directors shall be deemed to be within the control of the Company) permitted by applicable Law, applicable stock exchange rules and listing standard then in effect, and by the Governing Documents) necessary or advisable to cause such result, including (i) voting or providing a written consent or proxy with respect to the Company Shares or soliciting proxies, if applicable, (ii) causing the adoption of stockholders’ resolutions and amendments to the Governing Documents, (iii) causing Directors (to the extent such Directors were nominated or designated by the Person obligated to undertake the Necessary Action, and subject to any fiduciary duties that such Directors may have as Directors) to act in a certain manner or causing them to be removed, to the extent permitted under the Governing Documents and applicable Law, in the event they do not act in such a manner, (iv) executing agreements and instruments and (v) assuming receipt of all information reasonably required to be provided by any Stockholder or other Person, making, or causing to be made, with governmental, administrative or regulatory authorities, any filings, registrations or similar actions that are required to achieve such result.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Observer</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Ownership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3.01(b)(i).</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means the Company and the Stockholders party to this Agreement, including any Permitted Transferee who becomes a Party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in the case of any Stockholder an Affiliate of such Stockholder.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limited liability company, corporation, trust, other entity, association, estate, unincorporated organization or a government or any agency or political subdivision thereof.</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Stockholder</w:t>
      </w:r>
      <w:r>
        <w:rPr>
          <w:rFonts w:ascii="Times New Roman;Times;Serif" w:hAnsi="Times New Roman;Times;Serif"/>
          <w:b w:val="false"/>
          <w:i w:val="false"/>
          <w:caps w:val="false"/>
          <w:smallCaps w:val="false"/>
          <w:sz w:val="20"/>
        </w:rPr>
        <w:t>” means Kira S. Sheinerman, the co-founder of DiamiR.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Stockholder Designees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Stockholder Nominee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3.01(b)(iii)(A)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Stockholder Parties</w:t>
      </w:r>
      <w:r>
        <w:rPr>
          <w:rFonts w:ascii="Times New Roman;Times;Serif" w:hAnsi="Times New Roman;Times;Serif"/>
          <w:b w:val="false"/>
          <w:i w:val="false"/>
          <w:caps w:val="false"/>
          <w:smallCaps w:val="false"/>
          <w:sz w:val="20"/>
        </w:rPr>
        <w:t>” means the Primary Stockholder and Affiliates of such Person to whom Company Shares are Transferred by the Primary Stockholder after the date of this Agreement in accordance with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Requisite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any Subsidiary of the Company that is considered a “significant subsidiary” within the meaning of Rule 1-02(w) of Regulation S-X.</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Equivalents</w:t>
      </w:r>
      <w:r>
        <w:rPr>
          <w:rFonts w:ascii="Times New Roman;Times;Serif" w:hAnsi="Times New Roman;Times;Serif"/>
          <w:b w:val="false"/>
          <w:i w:val="false"/>
          <w:caps w:val="false"/>
          <w:smallCaps w:val="false"/>
          <w:sz w:val="20"/>
        </w:rPr>
        <w:t>” means any security or instrument that is, by its terms, directly or indirectly, convertible into or exchangeable or exercisable (at any time or upon the occurrence of any event or contingency and without regard to any vesting or other conditions) for Capital Stock, and any option, warrant, performance stock unit, restricted stock unit or other right to subscribe for, purchase or acquire Capital Stock or Stock Equivalents, disregarding any restrictions or limitations on the exercise of such rights and including, for the avoidance of doubt, any note or debt security or instrument convertible into or exchangeable for Capital Stock.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have the meaning set forth in the preamble.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Stockholder Reserved Matter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limited liability company, or other business entity of which a majority of the voting securities or voting interests is at the time Beneficially Owned, or the management of which is otherwise controlled, directly or indirectly, through one or more intermediaries, or both, by such Person.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with respect to any Company Shares, (i) when used as a verb, to sell, assign, dispose of, exchange, pledge, mortgage, encumber, hypothecate or otherwise transfer, in whole or in part, any Company Shares, whether directly or indirectly, or agree or commit to do any of the foregoing and (ii) when used as a noun, a direct or indirect sale, assignment, disposition, exchange, pledge, mortgage, encumbrance, hypothecation or other transfer, in whole or in part, of any Company Shares or any agreement or commitment to do any of the foregoing.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Other Interpretive Provisions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meanings of defined terms are equally applicable to the singular and plural forms of the defined terms.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hereby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similar words refer to this Agreement as a whole and not to any particular provision of this Agreement; and any subsection and Section references are to this Agreement unless otherwise specified.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is not limiting and means “including without limitation.”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i w:val="false"/>
          <w:caps w:val="false"/>
          <w:smallCaps w:val="false"/>
          <w:sz w:val="20"/>
        </w:rPr>
        <w:t>or</w:t>
      </w:r>
      <w:r>
        <w:rPr>
          <w:rFonts w:ascii="Times New Roman;Times;Serif" w:hAnsi="Times New Roman;Times;Serif"/>
          <w:b w:val="false"/>
          <w:i w:val="false"/>
          <w:caps w:val="false"/>
          <w:smallCaps w:val="false"/>
          <w:sz w:val="20"/>
        </w:rPr>
        <w:t>” is not exclusive.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 “</w:t>
      </w:r>
      <w:r>
        <w:rPr>
          <w:rFonts w:ascii="Times New Roman;Times;Serif" w:hAnsi="Times New Roman;Times;Serif"/>
          <w:b/>
          <w:i w:val="false"/>
          <w:caps w:val="false"/>
          <w:smallCaps w:val="false"/>
          <w:sz w:val="20"/>
        </w:rPr>
        <w:t>extent</w:t>
      </w:r>
      <w:r>
        <w:rPr>
          <w:rFonts w:ascii="Times New Roman;Times;Serif" w:hAnsi="Times New Roman;Times;Serif"/>
          <w:b w:val="false"/>
          <w:i w:val="false"/>
          <w:caps w:val="false"/>
          <w:smallCaps w:val="false"/>
          <w:sz w:val="20"/>
        </w:rPr>
        <w:t>” in the phrase “to the extent” shall mean the degree to which a subject or other thing extends, and such phrase shall not mean simply “if.”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captions and headings of this Agreement are for convenience of reference only and shall not affect the interpretation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agreement, instrument, statute, rule, regulation or listing standard defined or referred to herein or in any agreement or instrument that is referred to herein means such agreement, instrument, statute, rule, regulation or listing standard as from time to time amended, modified or supplemented, unless otherwise specifically indicated.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a Person are also to its permitted successors and assigns.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otherwise specifically indicated, all references to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be deemed references to the lawful money of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Whenever the context requires, any pronouns used herein shall include the corresponding masculine, feminine or neuter forms.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2</w:t>
        <w:br/>
        <w:t>REPRESENTATIONS AND WARRANTIES</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hereby represents and warrants, solely with respect to itself, severally but not jointly, to each other Party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Existence; Authority; Enforceability</w:t>
      </w:r>
      <w:r>
        <w:rPr>
          <w:rFonts w:ascii="Times New Roman;Times;Serif" w:hAnsi="Times New Roman;Times;Serif"/>
          <w:b w:val="false"/>
          <w:i w:val="false"/>
          <w:caps w:val="false"/>
          <w:smallCaps w:val="false"/>
          <w:sz w:val="20"/>
        </w:rPr>
        <w:t>. The Company has the power and authority to enter into this Agreement and to carry out its obligations hereunder. The Company is duly organized and validly existing under the Laws of its jurisdiction of organization, and the execution of this Agreement, and the performance of its obligations hereunder, have been authorized by all necessary action, and no other act or proceeding on its part is necessary to authorize the execution of this Agreement or the performance of its obligations hereunder. This Agreement has been duly executed by the Party and constitutes its legal, valid and binding obligation, enforceable against it in accordance with its terms except as the same may be affected by bankruptcy, insolvency, moratorium or similar Laws, or by legal or equitable principles relating to or limiting the rights of contracting parties generally.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Absence of Conflicts</w:t>
      </w:r>
      <w:r>
        <w:rPr>
          <w:rFonts w:ascii="Times New Roman;Times;Serif" w:hAnsi="Times New Roman;Times;Serif"/>
          <w:b w:val="false"/>
          <w:i w:val="false"/>
          <w:caps w:val="false"/>
          <w:smallCaps w:val="false"/>
          <w:sz w:val="20"/>
        </w:rPr>
        <w:t>. The execution and delivery by the Company or such other Party of this Agreement and the performance of its obligations hereunder does not (a) with respect to the Company, conflict with, or result in the breach of any provision of the constitutive documents of the Company; (b)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(c) violate any Law applicable to such Party, except, in the case of clause (b), as would not have a material adverse effect on such Party’s ability to perform its obligations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Consents</w:t>
      </w:r>
      <w:r>
        <w:rPr>
          <w:rFonts w:ascii="Times New Roman;Times;Serif" w:hAnsi="Times New Roman;Times;Serif"/>
          <w:b w:val="false"/>
          <w:i w:val="false"/>
          <w:caps w:val="false"/>
          <w:smallCaps w:val="false"/>
          <w:sz w:val="20"/>
        </w:rPr>
        <w:t>. Other than as has already been obtained, no consent, waiver, approval, authorization, exemption, registration, license or declaration is required to be made or obtained by such Party in connection with the execution, delivery or performance of this Agreement, except, in each case, as would not have a material adverse effect on such Party’s ability to perform its obligations hereunder.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3</w:t>
        <w:br/>
        <w:t>GOVERNANCE</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Board of Directors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date of this Agreement, each of the Company and the Stockholders shall take all Necessary Action to cause the number of Directors constituting the Board of Directors to be fixed at five (5) Directors. From and after the date of this Agreement, so long as the Stockholders Beneficially Own, in the aggregate, a number of Company Shares equal to at least 25% of the then outstanding Company Shares (such period, the “</w:t>
      </w:r>
      <w:r>
        <w:rPr>
          <w:rFonts w:ascii="Times New Roman;Times;Serif" w:hAnsi="Times New Roman;Times;Serif"/>
          <w:b/>
          <w:i w:val="false"/>
          <w:caps w:val="false"/>
          <w:smallCaps w:val="false"/>
          <w:sz w:val="20"/>
        </w:rPr>
        <w:t>Appointment Period</w:t>
      </w:r>
      <w:r>
        <w:rPr>
          <w:rFonts w:ascii="Times New Roman;Times;Serif" w:hAnsi="Times New Roman;Times;Serif"/>
          <w:b w:val="false"/>
          <w:i w:val="false"/>
          <w:caps w:val="false"/>
          <w:smallCaps w:val="false"/>
          <w:sz w:val="20"/>
        </w:rPr>
        <w:t>”), the Company shall not change the number of Directors constituting the Board of Directors without the prior written approval of the Primary Stockholder Parties (the “</w:t>
      </w:r>
      <w:r>
        <w:rPr>
          <w:rFonts w:ascii="Times New Roman;Times;Serif" w:hAnsi="Times New Roman;Times;Serif"/>
          <w:b/>
          <w:i w:val="false"/>
          <w:caps w:val="false"/>
          <w:smallCaps w:val="false"/>
          <w:sz w:val="20"/>
        </w:rPr>
        <w:t>Requisite Consent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Appointment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Primary Stockholder Parties shall have the right, but not the obligation, to designate, from time to time, (A) so long as the Stockholders Beneficially Own, in the aggregate, a number of Company Shares equal to at least 36% of the then outstanding Company Shares, two (2) designees for nomination and election to the Board of Directors, [and at least one (1) designee shall satisfy the independence requirements of Rule 5605(c)(2)(A) of the Nasdaq rules] and (B) so long as the Stockholders Beneficially Own, in the aggregate, a number of Company Shares equal to at least 25% of the then outstanding Company Shares, one (1) designee for nomination and election to the Board of Directors, (such designees set forth in clauses (A) and (B) of this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Primary Stockholder Designees</w:t>
      </w:r>
      <w:r>
        <w:rPr>
          <w:rFonts w:ascii="Times New Roman;Times;Serif" w:hAnsi="Times New Roman;Times;Serif"/>
          <w:b w:val="false"/>
          <w:i w:val="false"/>
          <w:caps w:val="false"/>
          <w:smallCaps w:val="false"/>
          <w:sz w:val="20"/>
        </w:rPr>
        <w:t>”), and at any such time that the Stockholders cease to Beneficially Own, in the aggregate, a number of Company Shares equal to at least 25% of the then outstanding Company Shares, the Primary Stockholder Parties shall no longer have any right to designate any nominee for election to the Board of Directors pursuant to this Agreement; provided that if at any time the Stockholders Beneficially Own, in the aggregate, a number of Company Shares equaling less than any of the thresholds set forth in clauses (A) through (B) (any such time, a “</w:t>
      </w:r>
      <w:r>
        <w:rPr>
          <w:rFonts w:ascii="Times New Roman;Times;Serif" w:hAnsi="Times New Roman;Times;Serif"/>
          <w:b/>
          <w:i w:val="false"/>
          <w:caps w:val="false"/>
          <w:smallCaps w:val="false"/>
          <w:sz w:val="20"/>
        </w:rPr>
        <w:t>Fall Away Event</w:t>
      </w:r>
      <w:r>
        <w:rPr>
          <w:rFonts w:ascii="Times New Roman;Times;Serif" w:hAnsi="Times New Roman;Times;Serif"/>
          <w:b w:val="false"/>
          <w:i w:val="false"/>
          <w:caps w:val="false"/>
          <w:smallCaps w:val="false"/>
          <w:sz w:val="20"/>
        </w:rPr>
        <w:t>” and any such threshold, an “</w:t>
      </w:r>
      <w:r>
        <w:rPr>
          <w:rFonts w:ascii="Times New Roman;Times;Serif" w:hAnsi="Times New Roman;Times;Serif"/>
          <w:b/>
          <w:i w:val="false"/>
          <w:caps w:val="false"/>
          <w:smallCaps w:val="false"/>
          <w:sz w:val="20"/>
        </w:rPr>
        <w:t>Ownership Threshold</w:t>
      </w:r>
      <w:r>
        <w:rPr>
          <w:rFonts w:ascii="Times New Roman;Times;Serif" w:hAnsi="Times New Roman;Times;Serif"/>
          <w:b w:val="false"/>
          <w:i w:val="false"/>
          <w:caps w:val="false"/>
          <w:smallCaps w:val="false"/>
          <w:sz w:val="20"/>
        </w:rPr>
        <w:t>”), then the Primary Stockholder Parties’ designation right(s) with respect to such Ownership Threshold shall fall away and no longer apply to the Primary Stockholder Parties from and after the Fall Away Event through the end of the term of this Agreement even if, after the applicable Fall Away Event, the Stockholders again Beneficially Own, in the aggregate, a number of Company Shares equaling or exceeding such applicable Ownership Threshold;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and the Stockholders shall take all Necessary Action to cause the Board of Directors to be constituted as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(including by nominating and appointing Primary Stockholder Designees or, to the extent permitted under the Governing Documents and applicable Law, removing Primary Stockholder Designees (at the request of the Primary Stockholder Parties) and promptly filling any vacancies created by reason of death, disability, retirement, removal or resignation of the Primary Stockholder Designees with a new Primary Stockholder Designee);</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any meeting of the Company’s stockholders, however called, or at any adjournment or postponement thereof, or in any other circumstances upon which a vote, consent or other approval (including by written consent) is sought or obtained by or from the stockholders of the Company: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election of Directors: (1) each Stockholder shall vote all of the Company Shares held by such Stockholder in favor of each Primary Stockholder Designee; (2) with respect to the election of nominees who are not Primary Stockholder Designees, (a) until the Company’s 2027 annual stockholders meeting (the “</w:t>
      </w:r>
      <w:r>
        <w:rPr>
          <w:rFonts w:ascii="Times New Roman;Times;Serif" w:hAnsi="Times New Roman;Times;Serif"/>
          <w:b/>
          <w:i w:val="false"/>
          <w:caps w:val="false"/>
          <w:smallCaps w:val="false"/>
          <w:sz w:val="20"/>
        </w:rPr>
        <w:t>2027 Meeting</w:t>
      </w:r>
      <w:r>
        <w:rPr>
          <w:rFonts w:ascii="Times New Roman;Times;Serif" w:hAnsi="Times New Roman;Times;Serif"/>
          <w:b w:val="false"/>
          <w:i w:val="false"/>
          <w:caps w:val="false"/>
          <w:smallCaps w:val="false"/>
          <w:sz w:val="20"/>
        </w:rPr>
        <w:t>”), each Stockholder shall vote all of the Company Shares held by such Stockholder in accordance with the recommendations of the Nominating and Governance Committee of the Board of Directors; and (b) beginning at the 2027 Meeting and at each annual meeting thereafter: (i) each Stockholder may vote, in its sole discretion, all of the Company Shares held by such Stockholder in favor of one additional nominee who is not an Primary Stockholder Designee; provided that if the number of Directors constituting the Board of Directors is increased above five (5), then the number of additional nominees under this clause (i) shall automatically increase by such number of additional Directors (each such additional nominee or nominees, as applicable, an “</w:t>
      </w:r>
      <w:r>
        <w:rPr>
          <w:rFonts w:ascii="Times New Roman;Times;Serif" w:hAnsi="Times New Roman;Times;Serif"/>
          <w:b/>
          <w:i w:val="false"/>
          <w:caps w:val="false"/>
          <w:smallCaps w:val="false"/>
          <w:sz w:val="20"/>
        </w:rPr>
        <w:t>Primary Stockholder Nominee</w:t>
      </w:r>
      <w:r>
        <w:rPr>
          <w:rFonts w:ascii="Times New Roman;Times;Serif" w:hAnsi="Times New Roman;Times;Serif"/>
          <w:b w:val="false"/>
          <w:i w:val="false"/>
          <w:caps w:val="false"/>
          <w:smallCaps w:val="false"/>
          <w:sz w:val="20"/>
        </w:rPr>
        <w:t>”); and (ii) with respect to any uncontested election of a nominee who is not a Primary Stockholder Designee or a Primary Stockholder Nominee, each Stockholder shall vote the Company Shares held by such Stockholder in the same manner as, and in the same proportion to, all shares voted by holders of Company Shares, excluding the votes or actions of the Stockholders with respect to the Company Shares of the Stockholders;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all other proposals or resolutions to be voted on by the stockholders of the Company, each Stockholder may vote all of the Company Shares held by such Stockholder in its sole discretion;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include the Primary Stockholder Designees in the slate of nominees recommended by the Board of Directors and in the Company’s proxy statement or notice of each meeting at which Directors are to be elected and shall take all Necessary Action and use commercially reasonable efforts to cause the Primary Stockholder Designees to be elected or appointed to the Board of Directors, including by nominating such designees to be elected as Directors;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reasonable prior written notice by the Company to the Primary Stockholder Parties, the Primary Stockholder Parties shall (A) use commercially reasonable efforts to supply to the Company, prior to any nomination or appointment of a Primary Stockholder Designee and on an on-going basis, as necessary, customary and reasonable (1) information and materials of a similar type and scope as the Company reasonably requires from the other members of the Board of Directors that is required to be disclosed (x) in proxy statements under applicable Law or (y) otherwise in connection with the Company’s legal, regulatory, auditor or stock exchange requirements (including, if applicable, any Directors’ questionnaire or similar document), and (B) deliver to the Company an executed consent in the same form as the Company reasonably requires from the other members of the Board of Directors in the ordinary course of business consistent with past practices, from each of the Primary Stockholder Designees to be named as a nominee in any proxy statement or similar materials for any annual meeting or special meeting of stockholders and to serve as a Director if so elected;</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first date that the Stockholders Beneficially Own, in the aggregate, a number of Company Shares equal to less than 36% of the then outstanding Company Shares, the Primary Stockholder Parties shall provide written notice to the Company and, at the sole discretion of the Primary Stockholder Parties, shall (A) cause one (1) of the Primary Stockholder Designees to tender his or her resignation from the Board of Directors effective no later than at or prior to the next annual meeting of the stockholders of the Company or (B) provide written notice to the Board of Directors that the Primary Stockholder Parties will not designate one of the Primary Stockholder Designees that the Primary Stockholder Parties would otherwise have the right to designate pursuant to </w:t>
      </w:r>
      <w:r>
        <w:rPr>
          <w:rFonts w:ascii="Times New Roman;Times;Serif" w:hAnsi="Times New Roman;Times;Serif"/>
          <w:b w:val="false"/>
          <w:i w:val="false"/>
          <w:caps w:val="false"/>
          <w:smallCaps w:val="false"/>
          <w:sz w:val="20"/>
          <w:u w:val="single"/>
        </w:rPr>
        <w:t>Section 3.01(b)(i)</w:t>
      </w:r>
      <w:r>
        <w:rPr>
          <w:rFonts w:ascii="Times New Roman;Times;Serif" w:hAnsi="Times New Roman;Times;Serif"/>
          <w:b w:val="false"/>
          <w:i w:val="false"/>
          <w:caps w:val="false"/>
          <w:smallCaps w:val="false"/>
          <w:sz w:val="20"/>
        </w:rPr>
        <w:t xml:space="preserve"> at the next annual meeting of the stockholders of the Company, such that upon acceptance by the Board of Directors of such resignation or following the next annual meeting, as applicable, the number of Primary Stockholder Designees serving on the Board of Directors would be one (1);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upon the first date that the Stockholders Beneficially Own, in the aggregate, a number of Company Shares equal to less than 25% of the then outstanding Company Shares, the Primary Stockholder Parties shall provide written notice to the Company and shall cause each of the remaining Primary Stockholder Designees to tender his or her immediate resignation from the Board of Directors.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Primary Stockholder Designee is required to tender his or her resignation pursuant to subparts (vi) – (vii) above, then the Board of Directors, acting by a majority of the Directors who are not Primary Stockholder Designees, may determine whether to accept such resignation effective immediately, reject such resignation or agree to an alternative arrangement until such Primary Stockholder Designee’s successor is elected or appointed to serve on the 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consented to in writing by the Primary Stockholder Parties, the Company shall take all Necessary Action to cause the 2027 Meeting to be held on or about December 31, 2027 or an earlier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nominee designated by the Primary Stockholder Parties pursuant to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may be removed, from time to time and at any time, by the Primary Stockholder Parties upon notice to the Company, to the extent permitted under the Governing Documents and applicable Law. Neither the Company nor any other Stockholder shall take action to remove or cause the removal of any Primary Stockholder Designee other than for cause.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the provisions of this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the Person designated by DiamiR pursuant to Section 7.05 of the Merger Agreement to observe meetings of the Board of Directors (the “</w:t>
      </w:r>
      <w:r>
        <w:rPr>
          <w:rFonts w:ascii="Times New Roman;Times;Serif" w:hAnsi="Times New Roman;Times;Serif"/>
          <w:b/>
          <w:i w:val="false"/>
          <w:caps w:val="false"/>
          <w:smallCaps w:val="false"/>
          <w:sz w:val="20"/>
        </w:rPr>
        <w:t>Observer</w:t>
      </w:r>
      <w:r>
        <w:rPr>
          <w:rFonts w:ascii="Times New Roman;Times;Serif" w:hAnsi="Times New Roman;Times;Serif"/>
          <w:b w:val="false"/>
          <w:i w:val="false"/>
          <w:caps w:val="false"/>
          <w:smallCaps w:val="false"/>
          <w:sz w:val="20"/>
        </w:rPr>
        <w:t xml:space="preserve">”) shall, until the earlier of (i) two (2) years from the date of this Agreement, (ii) the Observer’s death, disability, retirement or resignation or (iii) such time as may be determined by a majority of the Directors who are Primary Stockholder Designees, be entitled to observe all meetings of the Board of Directors, solely in the capacity of a non-voting observer. The Observer shall be entitled to such compensation (and reimbursement of expenses) to serve as an observer (for so long as he or she serves as the Observer) commensurate with the compensation paid (and entitlement to reimbursement of expenses) to non-management directors on the Board of Directors. In no event shall the Observer be considered or deemed to be a director or present (or required to be present) for purposes of a quorum, nor shall the Observer have any right to vote on, consent to or otherwise approve any activity or policy of the Company or any activity or policy taken or adopted by the Board of Directors. The Board of Directors may, as determined in the reasonable discretion of a majority of the Board of Directors, exclude the Observer from any meeting of the Board of Directors (or any portion thereof), and the Board of Directors shall not be required to provide the Observer with written materials, to the extent necessary to maintain the attorney-client privilege with respect to any communication. For the avoidance of doubt, this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xml:space="preserve"> does not entitle the Company to designate or otherwise cause the appointment of any replacement or successor to its original appointee to the position of Observer.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enter into indemnification agreements and maintain directors and officers liability insurance for the benefit of each Primary Stockholder Designee elected or appointed to the Board of Directors with respect to all periods during which such individual is a member of the Board of Directors, on terms, conditions and amounts substantially similar to the terms, conditions and amounts of the Company’s then current directors and officers liability insurance policy, and shall use commercially reasonable efforts to cause such indemnification and insurance to be maintained in full force and effect. The Company shall provide each Primary Stockholder Designee (other than, solely with respect to director fees and equity awards, any partner, director, officer or employee of any Primary Stockholder Party or any of its Affiliates (excluding for the avoidance of doubt the Company and its Subsidiaries)) with all benefits (including all fees, awards, other compensation arrangements and entitlements) in accordance with the Company’s written policies and on substantially the same terms and conditions as are provided to other members of the Board of Directors performing similar roles.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reimburse the Primary Stockholder Designees for all reasonable out-of-pocket expenses incurred in connection with their duties as Directors, including their attendance at meetings of the Board of Directors and any committees thereof, in accordance with the Company’s applicable written policies in effect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the Stockholders each acknowledge that each of the Observer and the Primary Stockholder Designees, respectively, will be required to comply with all policies, procedures, processes, codes, rules, standards and guidelines applicable to all Directors, including the Company’s code of business conduct and ethics, securities trading policies, Directors’ confidentiality policy, and corporate governance guidelines, and preserve the confidentiality of Company business and information, including discussions of matters considered in meetings of the Board of Directors or committees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and the Stockholders agree that, notwithstanding anything to the contrary in any other agreement or at law or in equity, when any of the Primary Stockholder Parties (in their capacity as Stockholders) takes any action under this Agreement to give or withhold its consent, such Person shall, to the fullest extent permitted by applicable Law, have no duty to consider the interests of the Company or the other Stockholders or any other stockholders of the Company and may act exclusively in its and its Affiliates’ own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shall in no way affect the obligations of the Parties to comply with the provisions of this Agreement.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Committees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Appointment Period: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Primary Stockholder Parties shall have the right to designate, for so long as the Stockholders Beneficially Own, in the aggregate, a number of Company Shares equal to at least 36% of the then outstanding Company Shares, one (1) Primary Stockholder Designees to serve on each committee of the Board of Directors, in each case, to the extent such Directors are permitted to serve on such committees under SEC rules and applicable listing standards then in effect; provided that, if there is a Fall Away Event in respect of any of the Ownership Thresholds in clause (A), then the Primary Stockholder Parties’ committee designation right(s) in respect of such Ownership Threshold shall fall away and no longer apply to the Primary Stockholder Parties (or, for the avoidance of doubt, any other Stockholder) from and after the Fall Away Event through the end of the term of this Agreement even if, after the applicable Fall Away Event, the Stockholders again Beneficially Own, in the aggregate, a number of Company Shares equaling or exceeding such applicable Ownership Threshold;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committee of the Board of Directors shall consist of three (3) Directors unless otherwise approved by a majority of the Primary Stockholder Designees and a majority of the Directors who are not Primary Stockholder Designees;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committee shall consist of at least two (2) Directors who are not Primary Stockholder Designees, unless otherwise approved by a majority of the Primary Stockholder Designees and a majority of the Directors who are not Primary Stockholder Designees;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audit committee of the Board of Directors shall be comprised entirely of independent directors (in accordance with the applicable listing standards of the Nasdaq Stock Market); provided that if, at any time during the Appointment Period, the Primary Stockholder Parties are unable to designate the full amount of Primary Stockholder Designees to the audit committee of the Board of Directors as a result of this clause (iv), then immediately upon any Primary Stockholder Designee being determined to be an Independent Director (A) the Primary Stockholder Parties shall be entitled, upon written notice to the Company, to immediately designate such number of Primary Stockholder Designees to the Audit Committee that are (x) Independent Directors and (y) permitted pursuant to </w:t>
      </w:r>
      <w:r>
        <w:rPr>
          <w:rFonts w:ascii="Times New Roman;Times;Serif" w:hAnsi="Times New Roman;Times;Serif"/>
          <w:b w:val="false"/>
          <w:i w:val="false"/>
          <w:caps w:val="false"/>
          <w:smallCaps w:val="false"/>
          <w:sz w:val="20"/>
          <w:u w:val="single"/>
        </w:rPr>
        <w:t>Section 3.02(a)(i)</w:t>
      </w:r>
      <w:r>
        <w:rPr>
          <w:rFonts w:ascii="Times New Roman;Times;Serif" w:hAnsi="Times New Roman;Times;Serif"/>
          <w:b w:val="false"/>
          <w:i w:val="false"/>
          <w:caps w:val="false"/>
          <w:smallCaps w:val="false"/>
          <w:sz w:val="20"/>
        </w:rPr>
        <w:t xml:space="preserve"> and (B) following such notice in clause (A), the Company shall take all Necessary Action to have a corresponding number of Directors that are not Primary Stockholder Designees then serving on the Audit Committee to promptly resign.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and the Stockholders shall take all Necessary Action to cause each committee to be constituted as set forth in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The Company shall use commercially reasonable efforts to cause the appointment of the Directors designated by the Primary Stockholder Parties to the committees of the Board of Directors in accordance with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Notwithstanding anything to the contrary in this Agreement, this Agreement shall not and shall not be construed in any way to limit the ability of any Primary Stockholder Designee to serve as the chairperson of any committee of the Board of Directors.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Controlled Company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a majority of the Primary Stockholder Designees and a majority of the Directors each determine otherwise, for so long as the Company qualifies as a “controlled company” under the applicable listing standards then in effect, the Company will elect to be a “controlled company” for purposes of such applicable listing standards, and will disclose in its annual meeting proxy statement that it is a “controlled company” and the basis for that determination. The Company and the Stockholders acknowledge and agree that, as of the date of this Agreement and effective as of the consummation of the Merger and the issuance of Company Shares pursuant thereto, the Company is a “controlled company.” If the Company ceases to qualify as a “controlled company” under applicable listing standards then in effect, the Primary Stockholder Parties and the Company will take whatever action may be reasonably necessary, if any, to cause the Company to comply with SEC rules and applicable listing standards then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Company ceases to qualify as a “controlled company” under applicable listing standards then in effect, the Primary Stockholder Parties shall cause a sufficient number of their designees to qualify as Independent Directors to ensure that the Board of Directors complies with such applicable listing standards in the time periods required by the applicable listing standards then in effect.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Stockholder Reserved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date of this Agreement, so long as the Stockholders Beneficially Own, in the aggregate, a number of Company Shares equal to at least 25% of the then outstanding Company Shares, the following matters (“</w:t>
      </w:r>
      <w:r>
        <w:rPr>
          <w:rFonts w:ascii="Times New Roman;Times;Serif" w:hAnsi="Times New Roman;Times;Serif"/>
          <w:b/>
          <w:i w:val="false"/>
          <w:caps w:val="false"/>
          <w:smallCaps w:val="false"/>
          <w:sz w:val="20"/>
        </w:rPr>
        <w:t>Stockholder Reserved Matters</w:t>
      </w:r>
      <w:r>
        <w:rPr>
          <w:rFonts w:ascii="Times New Roman;Times;Serif" w:hAnsi="Times New Roman;Times;Serif"/>
          <w:b w:val="false"/>
          <w:i w:val="false"/>
          <w:caps w:val="false"/>
          <w:smallCaps w:val="false"/>
          <w:sz w:val="20"/>
        </w:rPr>
        <w:t>”) shall require the Requisite Consent from the Primary Stockholder Parties: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commencement of any proceeding for the voluntary dissolution, winding up or bankruptcy of the Company or a Significant Subsidiary;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of any Capital Stock or Stock Equivalents representing, individually or collectively with all issuances of Capital Stock and Stock Equivalents within the preceding six (6) month period, greater than 10% of the outstanding Company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repeal, amendment or modification to the Governing Documents that would (A) adversely affect any right or protection of a Primary Stockholder Designee existing at the time of, or increase the liability (actual or potential) of any Primary Stockholder Designee with respect to, any acts or omissions occurring prior to, such repeal amendment or modification or (B) restrict, limit or otherwise adversely affect the ability of the Company to fulfill its obligations pursuant to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merger, amalgamation or consolidation (or other transaction having a similar effect) of the Company or any Significant Subsidiary with any other Person, spinoff of a business of the Company or any similar transaction;</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acquisition by the Company or any Subsidiary of the Company of the securities, equity interests or assets of any Person, or the acquiring by the Company or any Subsidiary of the Company by any other manner of any business, properties, assets, or Persons, in one transaction or a series of related transactions;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sale, conveyance transfer or other disposition of assets of the Company and its Subsidiaries in one transaction or a series of related transactions;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agreement providing for or making any capital expenditures or series of related capital expenditures which, individually or in the aggregate, are in excess of $2,000,000 during any fiscal year;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incurrence of Indebtedness (as defined in the Merger Agreement) in excess of $250,000;</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hiring of a replacement chief executive officer or chief financial officer of the Company;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designation to the Board of Directors contrary to the provisions regarding designation of Directors set forth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the Governing Documents;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if there is a Fall Away Event in respect of the Ownership Threshold in this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then the voting obligations of the Stockholders under this subsection shall fall away and no longer apply from and after the Fall Away Event through the end of the term of this Agreement even if, after the applicable Fall Away Event, the Stockholders again Beneficially Own, in the aggregate, a number of Company Shares equaling or exceeding such Ownership Threshold.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so long as the Stockholders Beneficially Own, in the aggregate, a number of Company Shares equal to at least 25% of the then outstanding Company Shares, the Company shall not incur significant expense in respect of any Stockholder Reserved Matter without having first received the Requisite Consent.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and after the date of this Agreement, so long as the Stockholders Beneficially Own, in the aggregate, a number of Company Shares equal to at least 25% of the then outstanding Company Shares, (i) each Stockholder shall vote its Company Shares at any annual or special meeting of stockholders of the Company at which action is to be taken with respect to any Stockholder Reserved Matter, or in any written consent or resolution in lieu of such a meeting of stockholders, in favor of any Stockholder Reserved Matter if Primary Stockholder Parties representing the Requisite Consent have given advance written notice to each Stockholder that they are in favor of the approval of the Stockholder Reserved Matter, and (ii) each Stockholder shall vote its Company Shares at any annual or special meeting of stockholders of the Company at which action is to be taken with respect to any Stockholder Reserved Matter, or in any written consent or resolution in lieu of such a meeting of stockholders, against any Stockholder Reserved Matter unless Primary Stockholder Parties representing the Requisite Consent have first given written notice to each other Stockholder that they are not in favor of the approval of such Stockholder Reserved Matter; provided that if there is a Fall Away Event in respect of the Ownership Threshold in this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then the voting obligations of the Stockholders under this subsection shall fall away and no longer apply from and after the Fall Away Event through the end of the term of this Agreement even if, after the applicable Fall Away Event, the Stockholders again Beneficially Own, in the aggregate, a number of Company Shares equaling or exceeding such Ownership Threshold. During the Appointment Period, the Stockholders shall take all Necessary Action to ensure that no Stockholder Reserved Matter is approved by the stockholders of the Company unless the Primary Stockholder Parties have given the Requisite Consent.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4</w:t>
        <w:br/>
        <w:t>RESTRICTIONS ON TRANSFER AND OTHER MATTERS</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Limitations on Transfer</w:t>
      </w:r>
      <w:r>
        <w:rPr>
          <w:rFonts w:ascii="Times New Roman;Times;Serif" w:hAnsi="Times New Roman;Times;Serif"/>
          <w:b w:val="false"/>
          <w:i w:val="false"/>
          <w:caps w:val="false"/>
          <w:smallCaps w:val="false"/>
          <w:sz w:val="20"/>
        </w:rPr>
        <w:t xml:space="preserve">. Except as otherwise expressly provided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or approved by a majority of the Directors who are not Primary Stockholder Designees from the date of this Agreement until the close of business on the date that is six (6) months after the date of this Agreement, no Stockholder shall be entitled to Transfer any of its Company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Transfer to Permitted Transferees.</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 Stockholder may Transfer any or all of its Company Shares at any time to a Permitted Transferee; provided that such Permitted Transferee shall agree in writing that it shall, upon such Transfer, assume with respect to such Company Shares the transferor’s obligations under this Agreement and become a Party for such purpose and be treated as a Stockholder for all purposes of this Agreement, and become a party to any other applicable agreement or instrument executed and delivered by such transferor in respect of the Company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Legend.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certificate or book-entry account evidencing the Company Shares held by a Stockholder shall bear a restrictive legend in substantially the following form:</w:t>
      </w:r>
    </w:p>
    <w:p>
      <w:pPr>
        <w:pStyle w:val="TextBody"/>
        <w:bidi w:val="0"/>
        <w:ind w:left="0" w:right="0" w:firstLine="72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BEEN ACQUIRED FOR INVESTMENT AND WITHOUT A VIEW TO DISTRIBUTION AND HAS NOT BEEN REGISTERED UNDER THE SECURITIES ACT OF 1933 (THE “ACT”), OR UNDER STATE SECURITIES LAWS. NO TRANSFER, SALE, ASSIGNMENT, PLEDGE, HYPOTHECATION OR OTHER DISPOSITION OF THIS SECURITY OR ANY INTEREST OR PARTICIPATION THEREIN MAY BE MADE EXCEPT (A) PURSUANT TO AN EFFECTIVE REGISTRATION STATEMENT UNDER THE ACT OR (B) PURSUANT TO AN EXEMPTION FROM REGISTRATION UNDER THE ACT AND APPLICABLE STATE SECURITIES LAWS AND, IN THE CASE OF CLAUSE (B), UNLESS THE ISSUER RECEIVES AN OPINION OF COUNSEL IN FORM AND SUBSTANCE SATISFACTORY TO THE ISSUER TO THE EFFECT THAT REGISTRATION IS NOT REQUIRED UNDER THE ACT AND APPLICABLE STATE SECURITIES LAWS. IN ADDITION, ANY SUCH TRANSFER OR OTHER DISPOSITION IS SUBJECT TO THE CONDITIONS CONTAINED IN THAT CERTAIN STOCKHOLDERS AGREEMENT, DATED AS OF JULY 20, 2026. A COPY OF SUCH CONDITIONS WILL BE PROVIDED TO THE HOLDER HEREOF UPON REQUEST.”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restrictive legend set forth in </w:t>
      </w:r>
      <w:r>
        <w:rPr>
          <w:rFonts w:ascii="Times New Roman;Times;Serif" w:hAnsi="Times New Roman;Times;Serif"/>
          <w:b w:val="false"/>
          <w:i w:val="false"/>
          <w:caps w:val="false"/>
          <w:smallCaps w:val="false"/>
          <w:sz w:val="20"/>
          <w:u w:val="single"/>
        </w:rPr>
        <w:t>Section 4.03(a)</w:t>
      </w:r>
      <w:r>
        <w:rPr>
          <w:rFonts w:ascii="Times New Roman;Times;Serif" w:hAnsi="Times New Roman;Times;Serif"/>
          <w:b w:val="false"/>
          <w:i w:val="false"/>
          <w:caps w:val="false"/>
          <w:smallCaps w:val="false"/>
          <w:sz w:val="20"/>
        </w:rPr>
        <w:t xml:space="preserve"> has ceased to be applicable, or upon request by a Stockholder proposing to Transfer Company Shares pursuant to any Transfer permitted under this Agreement, the Company shall promptly provide such Stockholder, or its transferees, at their request, without any expense to such Persons (other than applicable transfer taxes and similar governmental charges, if any), with new certificates for such securities not bearing the legend with respect to which the restriction has ceased and terminated.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 xml:space="preserve">Impermissible Transfers. </w:t>
      </w:r>
      <w:r>
        <w:rPr>
          <w:rFonts w:ascii="Times New Roman;Times;Serif" w:hAnsi="Times New Roman;Times;Serif"/>
          <w:b w:val="false"/>
          <w:i w:val="false"/>
          <w:caps w:val="false"/>
          <w:smallCaps w:val="false"/>
          <w:sz w:val="20"/>
        </w:rPr>
        <w:t>In the event of a purported Transfer by a Stockholder of any Company Shares in violation of the provisions of this Agreement, such purported Transfer will be void and of no effect, and the Company will not give effect to such Transfer.</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5</w:t>
        <w:br/>
        <w:t>GENERAL PROVISIONS</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xml:space="preserve"> The Parties shall take all Necessary Action in order to give full effect to this Agreement and every provision hereof. Each of the Company and the Stockholders shall take or cause to be taken all Necessary Action to ensure at all times that the Company’s Governing Documents are not at any time inconsistent with the provisions of this Agreement. In addition, each Party shall do and perform or cause to be done and performed all such further acts and things and shall execute and deliver all such other agreements, certificates, instruments, and documents as any other Party reasonably may request in order to carry out the intent and accomplish the purposes of this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Assignment; Benefit.</w:t>
      </w:r>
      <w:r>
        <w:rPr>
          <w:rFonts w:ascii="Times New Roman;Times;Serif" w:hAnsi="Times New Roman;Times;Serif"/>
          <w:b w:val="false"/>
          <w:i w:val="false"/>
          <w:caps w:val="false"/>
          <w:smallCaps w:val="false"/>
          <w:sz w:val="20"/>
        </w:rPr>
        <w:t xml:space="preserve"> The rights and obligations of the Parties hereunder shall not be assigned without the prior written consent of the Company and the Requisite Consent of the Primary Stockholder Parties, except in connection with a Transfer of Company Shares to a Permitted Transferee in compliance with Section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Any assignment of rights or obligations in violation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be null and void. This Agreement shall be binding upon and shall inure to the benefit of the Parties, and their respective successors and permitted assigns.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Pledges</w:t>
      </w:r>
      <w:r>
        <w:rPr>
          <w:rFonts w:ascii="Times New Roman;Times;Serif" w:hAnsi="Times New Roman;Times;Serif"/>
          <w:b w:val="false"/>
          <w:i w:val="false"/>
          <w:caps w:val="false"/>
          <w:smallCaps w:val="false"/>
          <w:sz w:val="20"/>
        </w:rPr>
        <w:t>. Upon the request of any Primary Stockholder Party that wishes to pledge, hypothecate or grant security interests in any or all of the Company Shares held by it, including to banks or financial institutions as collateral or security for loans, advances or extensions of credit, the Company shall reasonably cooperate with each such Primary Stockholder Party, at the sole cost and expense of such Primary Stockholder Party, in taking action reasonably necessary to facilitate any such pledge, hypothecation or grant, including delivery of customary letter agreements to lenders that such lenders may reasonably request (which may include customary agreements by the Company in respect of the exercise of remedies by such lenders).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Termination; Survival</w:t>
      </w:r>
      <w:r>
        <w:rPr>
          <w:rFonts w:ascii="Times New Roman;Times;Serif" w:hAnsi="Times New Roman;Times;Serif"/>
          <w:b w:val="false"/>
          <w:i w:val="false"/>
          <w:caps w:val="false"/>
          <w:smallCaps w:val="false"/>
          <w:sz w:val="20"/>
        </w:rPr>
        <w:t xml:space="preserve">. This Agreement shall automatically terminate and be of no further force or effect on the expiration of the Appointment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termination of this Agreement shall not relieve any Party from liability for any breach of this Agreement prior to such termination. Notwithstanding the foregoing, the provisions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and any claim for breach of the covenants set forth in this Agreement shall survive the termination of this Agreement.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 xml:space="preserve">Subsequent Acquisition of Shares; Other Activities. </w:t>
      </w:r>
      <w:r>
        <w:rPr>
          <w:rFonts w:ascii="Times New Roman;Times;Serif" w:hAnsi="Times New Roman;Times;Serif"/>
          <w:b w:val="false"/>
          <w:i w:val="false"/>
          <w:caps w:val="false"/>
          <w:smallCaps w:val="false"/>
          <w:sz w:val="20"/>
        </w:rPr>
        <w:t>Any Company Shares acquired subsequent to the date hereof by a Stockholder shall be subject to the terms and conditions of this Agreement. For the avoidance of doubt, Company Shares acquired by any Affiliate of any Stockholder (other than Company Shares acquired pursuant to this Agreement) shall not be subject to the terms and conditions of this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the event that any provision of this Agreement shall be invalid, illegal or unenforceable, such provision shall be construed by limiting it so as to be valid, legal and enforceable to the maximum extent provided by applicable Law and the validity, legality and enforceability of the remaining provisions of this Agreement shall not in any way be affected or impaired thereby.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xml:space="preserve"> This Agreement, the Governing Documents and the other agreements referenced herein and therein constitute the entire agreement among the Parties with respect to the subject matter hereof, and supersede any prior agreement or understanding among them with respect to the matters referred to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Amendment; Waiver</w:t>
      </w:r>
      <w:r>
        <w:rPr>
          <w:rFonts w:ascii="Times New Roman;Times;Serif" w:hAnsi="Times New Roman;Times;Serif"/>
          <w:b w:val="false"/>
          <w:i w:val="false"/>
          <w:caps w:val="false"/>
          <w:smallCaps w:val="false"/>
          <w:sz w:val="20"/>
        </w:rPr>
        <w:t xml:space="preserve">. This Agreement may not be amended, modified, supplemented, waived or terminated (other than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except with the written consent of the Company and the Requisite Consent of the Primary Stockholder Parties. The Company shall give prompt written notice of any amendment, modification, supplement, waiver or termination hereunder to any Party that did not consent in writing thereto. Any amendment, modification, termination, supplement, waiver or termination effected in accordance with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shall be binding on each Party and all of such Party’s successors and permitted assigns, whether or not any such party, successor or assignee entered into or approved such amendment, modification, supplement, waiver or termination. Waiver by any Party of any breach or default by any other Party of any of the terms of this Agreement shall not operate as a waiver of any other breach or default, whether similar to or different from the breach or default waived. No waiver of any provision of this Agreement shall be implied from any course of dealing between the Parties or from any failure by any Party to assert its or his or her rights hereunder on any occasion or series of occasions.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and delivered (including by facsimile transmission or electronic mail) in one or more counterparts and, if executed in more than one counterpart, the executed counterparts shall each be deemed to be an original and all such counterparts shall together constitute one and the same instrument.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Unless otherwise specified herein, all notices, consents, approvals, reports, designations, requests, waivers, elections and other communications authorized or required to be given pursuant to this Agreement shall be in writing and shall be given, made or delivered (and shall be deemed to have been duly given, made or delivered upon receipt) by (a) personal hand-delivery, (b) electronic mail, (c) mailing in a sealed envelope, registered first-class mail, postage prepaid, return receipt requested, or (d) nationally recognized air courier guaranteeing overnight delivery, in each case, addressed to the Company or the Primary Stockholder Parties at the address set forth below or to the applicable Stockholder (other than the Primary Stockholder Parties) at the address indicated on Annex A hereto (or at such other address for a Stockholder as shall be specified by like notice):</w:t>
      </w:r>
    </w:p>
    <w:p>
      <w:pPr>
        <w:pStyle w:val="TextBody"/>
        <w:bidi w:val="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565"/>
        <w:gridCol w:w="2765"/>
      </w:tblGrid>
      <w:tr>
        <w:trPr/>
        <w:tc>
          <w:tcPr>
            <w:tcW w:w="1565" w:type="dxa"/>
            <w:tcBorders/>
            <w:vAlign w:val="center"/>
          </w:tcPr>
          <w:p>
            <w:pPr>
              <w:pStyle w:val="TableContents"/>
              <w:bidi w:val="0"/>
              <w:spacing w:before="0" w:after="283"/>
              <w:jc w:val="left"/>
              <w:rPr>
                <w:sz w:val="20"/>
              </w:rPr>
            </w:pPr>
            <w:r>
              <w:rPr>
                <w:sz w:val="20"/>
              </w:rPr>
              <w:t>If to the Company:</w:t>
            </w:r>
          </w:p>
        </w:tc>
        <w:tc>
          <w:tcPr>
            <w:tcW w:w="27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br/>
              <w:t>116 Village Boulevard, Suite 200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Ian Huen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___________________</w:t>
            </w:r>
          </w:p>
        </w:tc>
      </w:tr>
    </w:tbl>
    <w:p>
      <w:pPr>
        <w:pStyle w:val="TextBody"/>
        <w:bidi w:val="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3020"/>
        <w:gridCol w:w="2870"/>
      </w:tblGrid>
      <w:tr>
        <w:trPr/>
        <w:tc>
          <w:tcPr>
            <w:tcW w:w="3020" w:type="dxa"/>
            <w:tcBorders/>
            <w:vAlign w:val="center"/>
          </w:tcPr>
          <w:p>
            <w:pPr>
              <w:pStyle w:val="TableContents"/>
              <w:bidi w:val="0"/>
              <w:spacing w:before="0" w:after="283"/>
              <w:jc w:val="both"/>
              <w:rPr>
                <w:sz w:val="20"/>
              </w:rPr>
            </w:pPr>
            <w:r>
              <w:rPr>
                <w:sz w:val="20"/>
              </w:rPr>
              <w:t>with a copy to:</w:t>
            </w:r>
          </w:p>
        </w:tc>
        <w:tc>
          <w:tcPr>
            <w:tcW w:w="28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3rd Avenue, 19th Floor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Louis Taubman, Esq.</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ltaubman@htflawyers.com</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(917) 512-0827</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both"/>
              <w:rPr>
                <w:sz w:val="20"/>
              </w:rPr>
            </w:pPr>
            <w:r>
              <w:rPr>
                <w:sz w:val="20"/>
              </w:rPr>
              <w:t>If to the Primary Stockholder Parties:</w:t>
            </w:r>
          </w:p>
        </w:tc>
        <w:tc>
          <w:tcPr>
            <w:tcW w:w="2870" w:type="dxa"/>
            <w:tcBorders/>
            <w:vAlign w:val="center"/>
          </w:tcPr>
          <w:p>
            <w:pPr>
              <w:pStyle w:val="TableContents"/>
              <w:bidi w:val="0"/>
              <w:spacing w:before="0" w:after="283"/>
              <w:jc w:val="left"/>
              <w:rPr>
                <w:sz w:val="20"/>
              </w:rPr>
            </w:pPr>
            <w:r>
              <w:rPr>
                <w:sz w:val="20"/>
              </w:rPr>
              <w:t xml:space="preserve">Kira S. Sheinerman </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E-Mail: ___________________</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both"/>
              <w:rPr>
                <w:sz w:val="20"/>
              </w:rPr>
            </w:pPr>
            <w:r>
              <w:rPr>
                <w:sz w:val="20"/>
              </w:rPr>
              <w:t>with a copy to:</w:t>
            </w:r>
          </w:p>
        </w:tc>
        <w:tc>
          <w:tcPr>
            <w:tcW w:w="28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Attention:</w:t>
            </w:r>
          </w:p>
        </w:tc>
      </w:tr>
      <w:tr>
        <w:trPr/>
        <w:tc>
          <w:tcPr>
            <w:tcW w:w="30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Email: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all actions (whether based on contract, tort or otherwise) arising out of or relating to this Agreement (including the actions of the Parties in the negotiation, administration, performance and enforcement hereof) are governed by and shall be construed in accordance with the Laws of the State of New York, excluding any conflict-of-laws rule or principle (whether of State of New York or any other jurisdiction) that might refer the governance or the construction of this Agreement to the Law of another jurisdiction, subject, in all respects, to any expressly applicable provisions of the Delaware General Corporation Law.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xml:space="preserve">. Each of the parties hereto (i)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nothing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shall affect the right of any party to serve legal process in any other manner permitted by applicable Law; (ii) irrevocably submits itself and its properties and assets to the exclusive jurisdiction of the Supreme Court of the State of New York (or, if (and only if) the Supreme Court of the State of New York declines to accept or does not have jurisdiction over a particular matter, any federal court sitting in the State of New York) for the purpose of any action, proceeding or counterclaim (whether based on contract, tort or otherwise) arising out of or relating to this Agreement or the actions of the parties hereto in the negotiation, administration, performance and enforcement hereof; (iii) consents to submit itself to the personal jurisdiction of the Supreme Court of the State of New York (or, if (and only if) the Supreme Court of the State of New York declines to accept or does not have jurisdiction over a particular matter, any federal court sitting in the State of New York) for the purpose of any such action, proceeding or counterclaim; (iv) agrees that it will not attempt to deny or defeat such personal jurisdiction by motion or other request for leave from any such court; (v) waives any objection that it may now or hereafter have to the venue of any such action, proceeding or counterclaim in any such court or that such action, proceeding or counterclaim was brought in an inconvenient court and agrees not to plead or claim the same; and (vi) agrees that it will not bring any action, proceeding or counterclaim relating to this Agreement or the transactions contemplated hereby in any court other than the aforesaid courts. Each of the Parties agrees that a final judgment in any action or proceeding in such courts as provided above shall be conclusive and may be enforced in other jurisdictions by suit on the judgment or in any other manner provided by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HEREBY IRREVOCABLY WAIVES ALL RIGHT TO TRIAL BY JURY IN ANY ACTION, PROCEEDING OR COUNTERCLAIM (WHETHER BASED ON CONTRACT, TORT OR OTHERWISE) ARISING OUT OF OR RELATING TO THIS AGREEMENT OR THE ACTIONS OF THE PARTIES IN THE NEGOTIATION, ADMINISTRATION, PERFORMANCE AND ENFORCEMENT HEREOF. The Company or any Stockholder may file an original counterpart or a copy of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with any court as written evidence of the consent of any of the Parties to the waiver of their rights to trial by jury.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 xml:space="preserve"> It is hereby agreed and acknowledged that it will be impossible to measure the money damages that would be suffered if the Parties fail to comply with any of the obligations imposed on them by this Agreement and that, in the event of any such failure, an aggrieved Party will be irreparably damaged and will not have an adequate remedy at law. Each Party shall, therefore, be entitled (in addition to any other remedy to which such Party may be entitled at law or in equity) to injunctive relief, including specific performance, to enforce such obligations, without the posting of any bond or any similar instrument, and if any action should be brought in equity to enforce any of the provisions of this Agreement, none of the Parties shall oppose the granting of an injunction or specific performance as provided herein or raise the defense that there is an adequate remedy at law. The remedies available to the Parties pursuant to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shall be in addition to and without prejudice with regard to any other remedy to which the Parties are entitled at law or in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All references in this Agreement to Company Shares shall be appropriately adjusted for any stock dividends, splits, reverse splits, combinations, reclassifications, recapitalizations, reorganizations and the like occurring after the date 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caps w:val="false"/>
          <w:smallCaps w:val="false"/>
          <w:sz w:val="20"/>
        </w:rPr>
        <w:t>Third Party Beneficiaries.</w:t>
      </w:r>
      <w:r>
        <w:rPr>
          <w:rFonts w:ascii="Times New Roman;Times;Serif" w:hAnsi="Times New Roman;Times;Serif"/>
          <w:b w:val="false"/>
          <w:i w:val="false"/>
          <w:caps w:val="false"/>
          <w:smallCaps w:val="false"/>
          <w:sz w:val="20"/>
        </w:rPr>
        <w:t xml:space="preserve"> This Agreement is not intended to confer upon any Person, except for the Parties, any rights or remedies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caps w:val="false"/>
          <w:smallCaps w:val="false"/>
          <w:sz w:val="20"/>
        </w:rPr>
        <w:t>No Recourse</w:t>
      </w:r>
      <w:r>
        <w:rPr>
          <w:rFonts w:ascii="Times New Roman;Times;Serif" w:hAnsi="Times New Roman;Times;Serif"/>
          <w:b w:val="false"/>
          <w:i w:val="false"/>
          <w:caps w:val="false"/>
          <w:smallCaps w:val="false"/>
          <w:sz w:val="20"/>
        </w:rPr>
        <w:t>. This Agreement may only be enforced against, and any claims or cause of action that may be based upon, arise out of or relate to this Agreement, or the negotiation, execution or performance of this Agreement, may only be made against the entities that are expressly identified as Parties, and no past, present or future Affiliate, incorporator, member, partner or stockholder of any Party shall have any liability for any obligations or liabilities of the Parties or for any claim based on, in respect of, or by reason of the transactions contemplated hereby.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caps w:val="false"/>
          <w:smallCaps w:val="false"/>
          <w:sz w:val="20"/>
        </w:rPr>
        <w:t>No Presumption Against Drafter.</w:t>
      </w:r>
      <w:r>
        <w:rPr>
          <w:rFonts w:ascii="Times New Roman;Times;Serif" w:hAnsi="Times New Roman;Times;Serif"/>
          <w:b w:val="false"/>
          <w:i w:val="false"/>
          <w:caps w:val="false"/>
          <w:smallCaps w:val="false"/>
          <w:sz w:val="20"/>
        </w:rPr>
        <w:t xml:space="preserve"> The Parties have participated jointly in the negotiation and drafting of this Agreement and, in the event an ambiguity or question of intent or interpretation arises, this Agreement will be construed as jointly drafted by the Parties and no presumption or burden of proof will arise favoring or disfavoring any Party by virtue of the authorship of any provision of this Agreement.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set forth below have duly executed this Agreement as of the day and year first above written.</w:t>
      </w:r>
    </w:p>
    <w:p>
      <w:pPr>
        <w:pStyle w:val="TextBody"/>
        <w:bidi w:val="0"/>
        <w:ind w:left="0" w:right="0" w:firstLine="72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1157"/>
        <w:gridCol w:w="1952"/>
        <w:gridCol w:w="75"/>
      </w:tblGrid>
      <w:tr>
        <w:trPr/>
        <w:tc>
          <w:tcPr>
            <w:tcW w:w="3109" w:type="dxa"/>
            <w:gridSpan w:val="2"/>
            <w:tcBorders/>
            <w:vAlign w:val="center"/>
          </w:tcPr>
          <w:p>
            <w:pPr>
              <w:pStyle w:val="TableContents"/>
              <w:bidi w:val="0"/>
              <w:spacing w:before="0" w:after="283"/>
              <w:jc w:val="left"/>
              <w:rPr>
                <w:b/>
              </w:rPr>
            </w:pPr>
            <w:r>
              <w:rPr>
                <w:b/>
              </w:rPr>
              <w:t>NIKI BIOSOLUTIONS, INC.</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283"/>
              <w:jc w:val="left"/>
              <w:rPr/>
            </w:pPr>
            <w:r>
              <w:rPr/>
              <w:t>By:</w:t>
            </w:r>
          </w:p>
        </w:tc>
        <w:tc>
          <w:tcPr>
            <w:tcW w:w="195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283"/>
              <w:jc w:val="left"/>
              <w:rPr/>
            </w:pPr>
            <w:r>
              <w:rPr/>
              <w:t>Name:</w:t>
            </w:r>
          </w:p>
        </w:tc>
        <w:tc>
          <w:tcPr>
            <w:tcW w:w="195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283"/>
              <w:jc w:val="left"/>
              <w:rPr/>
            </w:pPr>
            <w:r>
              <w:rPr/>
              <w:t>Title:</w:t>
            </w:r>
          </w:p>
        </w:tc>
        <w:tc>
          <w:tcPr>
            <w:tcW w:w="195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continue on following page</w:t>
      </w:r>
      <w:r>
        <w:rPr>
          <w:rFonts w:ascii="Times New Roman;Times;Serif" w:hAnsi="Times New Roman;Times;Serif"/>
          <w:b w:val="false"/>
          <w:i w:val="false"/>
          <w:caps w:val="false"/>
          <w:smallCaps w:val="false"/>
          <w:sz w:val="20"/>
        </w:rPr>
        <w: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0" w:right="0" w:hanging="0"/>
        <w:jc w:val="center"/>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633"/>
        <w:gridCol w:w="2026"/>
        <w:gridCol w:w="75"/>
      </w:tblGrid>
      <w:tr>
        <w:trPr/>
        <w:tc>
          <w:tcPr>
            <w:tcW w:w="2659" w:type="dxa"/>
            <w:gridSpan w:val="2"/>
            <w:tcBorders/>
            <w:vAlign w:val="center"/>
          </w:tcPr>
          <w:p>
            <w:pPr>
              <w:pStyle w:val="TableContents"/>
              <w:bidi w:val="0"/>
              <w:spacing w:before="0" w:after="283"/>
              <w:jc w:val="left"/>
              <w:rPr>
                <w:b/>
              </w:rPr>
            </w:pPr>
            <w:r>
              <w:rPr>
                <w:b/>
              </w:rPr>
              <w:t>STOCKHOLDER:</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b/>
              </w:rPr>
            </w:pPr>
            <w:r>
              <w:rPr>
                <w:b/>
              </w:rPr>
              <w:t>KIRA S. SHEINERMAN</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283"/>
              <w:jc w:val="left"/>
              <w:rPr/>
            </w:pPr>
            <w:r>
              <w:rPr/>
              <w:t>By:</w:t>
            </w:r>
          </w:p>
        </w:tc>
        <w:tc>
          <w:tcPr>
            <w:tcW w:w="20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Stockholders Agreement</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9826201ex99-1.htm"/>
      <w:bookmarkStart w:id="37" w:name="ksea029826201ex991"/>
      <w:bookmarkEnd w:id="36"/>
      <w:bookmarkEnd w:id="37"/>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Aptorum Group Provides Update on DiamiR Biosciences Merger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Post-Merger company, Niki BioSolutions, Inc., to Trade on Nasdaq Under Ticker “NIKI”</w:t>
      </w:r>
    </w:p>
    <w:p>
      <w:pPr>
        <w:pStyle w:val="TextBody"/>
        <w:bidi w:val="0"/>
        <w:spacing w:before="0" w:after="0"/>
        <w:ind w:left="420" w:right="0" w:hanging="360"/>
        <w:jc w:val="both"/>
        <w:rPr>
          <w:caps w:val="false"/>
          <w:smallCaps w:val="false"/>
        </w:rPr>
      </w:pPr>
      <w:r>
        <w:rPr>
          <w:caps w:val="false"/>
          <w:smallCaps w:val="false"/>
        </w:rPr>
        <w:t> </w:t>
      </w:r>
    </w:p>
    <w:p>
      <w:pPr>
        <w:pStyle w:val="TextBody"/>
        <w:bidi w:val="0"/>
        <w:spacing w:before="0" w:after="0"/>
        <w:ind w:left="4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 Group Announces 1-for-10 Reverse Share Split and Delaware Redomestication in Connection with the Merger</w:t>
      </w:r>
    </w:p>
    <w:p>
      <w:pPr>
        <w:pStyle w:val="TextBody"/>
        <w:bidi w:val="0"/>
        <w:spacing w:before="0" w:after="0"/>
        <w:ind w:left="420" w:right="0" w:hanging="360"/>
        <w:jc w:val="both"/>
        <w:rPr>
          <w:caps w:val="false"/>
          <w:smallCaps w:val="false"/>
        </w:rPr>
      </w:pPr>
      <w:r>
        <w:rPr>
          <w:caps w:val="false"/>
          <w:smallCaps w:val="false"/>
        </w:rPr>
        <w:t> </w:t>
      </w:r>
    </w:p>
    <w:p>
      <w:pPr>
        <w:pStyle w:val="TextBody"/>
        <w:bidi w:val="0"/>
        <w:spacing w:before="0" w:after="0"/>
        <w:ind w:left="4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Merger is Expected to Close in July 2026 </w:t>
      </w:r>
    </w:p>
    <w:p>
      <w:pPr>
        <w:pStyle w:val="TextBody"/>
        <w:bidi w:val="0"/>
        <w:spacing w:before="0" w:after="0"/>
        <w:ind w:left="4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July 16, 2026 / GLOBE NEWSWIRE /</w:t>
      </w:r>
      <w:r>
        <w:rPr>
          <w:rFonts w:ascii="Times New Roman;Times;Serif" w:hAnsi="Times New Roman;Times;Serif"/>
          <w:b w:val="false"/>
          <w:i w:val="false"/>
          <w:caps w:val="false"/>
          <w:smallCaps w:val="false"/>
          <w:sz w:val="20"/>
        </w:rPr>
        <w:t xml:space="preserve"> — Aptorum Group Limited, </w:t>
      </w:r>
      <w:r>
        <w:rPr>
          <w:rFonts w:ascii="Times New Roman;Times;Serif" w:hAnsi="Times New Roman;Times;Serif"/>
          <w:b w:val="false"/>
          <w:i w:val="false"/>
          <w:caps w:val="false"/>
          <w:smallCaps w:val="false"/>
          <w:sz w:val="20"/>
          <w:shd w:fill="FFFFFF" w:val="clear"/>
        </w:rPr>
        <w:t>a Cayman Islands exempted company with limited liability</w:t>
      </w:r>
      <w:r>
        <w:rPr>
          <w:rFonts w:ascii="Times New Roman;Times;Serif" w:hAnsi="Times New Roman;Times;Serif"/>
          <w:b w:val="false"/>
          <w:i w:val="false"/>
          <w:caps w:val="false"/>
          <w:smallCaps w:val="false"/>
          <w:sz w:val="20"/>
        </w:rPr>
        <w:t xml:space="preserve"> (NASDAQ: APM) </w:t>
      </w:r>
      <w:r>
        <w:rPr>
          <w:rFonts w:ascii="Times New Roman;Times;Serif" w:hAnsi="Times New Roman;Times;Serif"/>
          <w:b w:val="false"/>
          <w:i w:val="false"/>
          <w:caps w:val="false"/>
          <w:smallCaps w:val="false"/>
          <w:sz w:val="20"/>
          <w:shd w:fill="FFFFFF" w:val="clear"/>
        </w:rPr>
        <w:t>(“Aptorum Group” or “Aptorum” or “Company”)</w:t>
      </w:r>
      <w:r>
        <w:rPr>
          <w:rFonts w:ascii="Times New Roman;Times;Serif" w:hAnsi="Times New Roman;Times;Serif"/>
          <w:b w:val="false"/>
          <w:i w:val="false"/>
          <w:caps w:val="false"/>
          <w:smallCaps w:val="false"/>
          <w:sz w:val="20"/>
        </w:rPr>
        <w:t xml:space="preserve">, a clinical stage biopharmaceutical company dedicated to addressing unmet medical needs, today announced that the closing of </w:t>
      </w:r>
      <w:r>
        <w:rPr>
          <w:rFonts w:ascii="Times New Roman;Times;Serif" w:hAnsi="Times New Roman;Times;Serif"/>
          <w:b w:val="false"/>
          <w:i w:val="false"/>
          <w:caps w:val="false"/>
          <w:smallCaps w:val="false"/>
          <w:sz w:val="20"/>
          <w:shd w:fill="FFFFFF" w:val="clear"/>
        </w:rPr>
        <w:t xml:space="preserve">its merger with DiamiR Biosciences Corp. (“Merger”) is anticipated to take place on or about July 20, 2026. </w:t>
      </w:r>
      <w:r>
        <w:rPr>
          <w:rFonts w:ascii="Times New Roman;Times;Serif" w:hAnsi="Times New Roman;Times;Serif"/>
          <w:b w:val="false"/>
          <w:i w:val="false"/>
          <w:caps w:val="false"/>
          <w:smallCaps w:val="false"/>
          <w:sz w:val="20"/>
        </w:rPr>
        <w:t xml:space="preserve">DiamiR Biosciences Corp. is a developer and provider of innovative blood-based tests offered through its CLIA-certified, CAP-accredited laboratory for brain health and other conditions. </w:t>
      </w:r>
      <w:r>
        <w:rPr>
          <w:rFonts w:ascii="Times New Roman;Times;Serif" w:hAnsi="Times New Roman;Times;Serif"/>
          <w:b w:val="false"/>
          <w:i w:val="false"/>
          <w:caps w:val="false"/>
          <w:smallCaps w:val="false"/>
          <w:sz w:val="20"/>
          <w:shd w:fill="FFFFFF" w:val="clear"/>
        </w:rPr>
        <w:t xml:space="preserve">In connection with the Merger, Aptorum </w:t>
      </w:r>
      <w:r>
        <w:rPr>
          <w:rFonts w:ascii="Times New Roman;Times;Serif" w:hAnsi="Times New Roman;Times;Serif"/>
          <w:b w:val="false"/>
          <w:i w:val="false"/>
          <w:caps w:val="false"/>
          <w:smallCaps w:val="false"/>
          <w:sz w:val="20"/>
        </w:rPr>
        <w:t xml:space="preserve">intends to effect a share consolidation of its issued and outstanding class A and class B ordinary shares at a ratio of 1-to-10 (“Reverse Split”). </w:t>
      </w:r>
      <w:r>
        <w:rPr>
          <w:rFonts w:ascii="Times New Roman;Times;Serif" w:hAnsi="Times New Roman;Times;Serif"/>
          <w:b w:val="false"/>
          <w:i w:val="false"/>
          <w:caps w:val="false"/>
          <w:smallCaps w:val="false"/>
          <w:sz w:val="20"/>
          <w:shd w:fill="FFFFFF" w:val="clear"/>
        </w:rPr>
        <w:t xml:space="preserve">The Reverse Split was approved by Aptorum’s shareholders on June 9, 2026, at which time the shareholders also approved various transactions required to take place in connection with the </w:t>
      </w:r>
      <w:r>
        <w:rPr>
          <w:rFonts w:ascii="Times New Roman;Times;Serif" w:hAnsi="Times New Roman;Times;Serif"/>
          <w:b w:val="false"/>
          <w:i w:val="false"/>
          <w:caps w:val="false"/>
          <w:smallCaps w:val="false"/>
          <w:sz w:val="20"/>
        </w:rPr>
        <w:t>anticipated closing of the Merger</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In connection with the Merger, </w:t>
      </w:r>
      <w:r>
        <w:rPr>
          <w:rFonts w:ascii="Times New Roman;Times;Serif" w:hAnsi="Times New Roman;Times;Serif"/>
          <w:b w:val="false"/>
          <w:i w:val="false"/>
          <w:caps w:val="false"/>
          <w:smallCaps w:val="false"/>
          <w:sz w:val="20"/>
          <w:shd w:fill="FFFFFF" w:val="clear"/>
        </w:rPr>
        <w:t xml:space="preserve">Aptorum shall redomicile as a Delaware company, under the </w:t>
      </w:r>
      <w:r>
        <w:rPr>
          <w:rFonts w:ascii="Times New Roman;Times;Serif" w:hAnsi="Times New Roman;Times;Serif"/>
          <w:b w:val="false"/>
          <w:i w:val="false"/>
          <w:caps w:val="false"/>
          <w:smallCaps w:val="false"/>
          <w:sz w:val="20"/>
        </w:rPr>
        <w:t>name Niki BioSolutions, Inc</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It is expected that as of the market open on July 20, 2026, the Company will trade shares of common stock on The Nasdaq Capital Market, under the new name Niki BioSolutions, Inc., new trading symbol “NIKI,” and new CUSIP number </w:t>
      </w:r>
      <w:r>
        <w:rPr>
          <w:rFonts w:ascii="Times New Roman;Times;Serif" w:hAnsi="Times New Roman;Times;Serif"/>
          <w:b w:val="false"/>
          <w:i/>
          <w:caps w:val="false"/>
          <w:smallCaps w:val="false"/>
          <w:sz w:val="20"/>
        </w:rPr>
        <w:t>653942 102</w:t>
      </w:r>
      <w:r>
        <w:rPr>
          <w:rFonts w:ascii="Times New Roman;Times;Serif" w:hAnsi="Times New Roman;Times;Serif"/>
          <w:b w:val="false"/>
          <w:i w:val="false"/>
          <w:caps w:val="false"/>
          <w:smallCaps w:val="false"/>
          <w:sz w:val="20"/>
        </w:rPr>
        <w:t xml:space="preserve">, on a split-adjusted basis. </w:t>
      </w:r>
      <w:r>
        <w:rPr>
          <w:rFonts w:ascii="Times New Roman;Times;Serif" w:hAnsi="Times New Roman;Times;Serif"/>
          <w:b w:val="false"/>
          <w:i w:val="false"/>
          <w:caps w:val="false"/>
          <w:smallCaps w:val="false"/>
          <w:sz w:val="20"/>
          <w:shd w:fill="FFFFFF" w:val="clear"/>
        </w:rPr>
        <w:t xml:space="preserve">The Reverse Split is intended to increase the per share trading price of the post-Merger Company’s common stock to enable the post-Merger Company to maintain compliance with the minimum bid price requirement for continued listing on The Nasdaq Capital Market.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Split will reduce the current number of Aptorum’s outstanding class A ordinary shares and outstanding class B ordinary shares from approximately 6,346,823 shares and 1,796,934 shares, respectively, to approximately 634,682 shares and 179,693 shares, respectively. Aptorum’s total authorized number of shares will also be reduced in connection with the Reverse Split and the par value of both class A ordinary shares and class B ordinary shares shall increase from $0.00001 to $0.0001 per share. Proportional adjustments will also be made to the exercise and conversion prices of Aptorum’s outstanding stock options, warrants, and convertible securities, and to the number of shares issued and issuable under Aptorum’s stock incentive plans. </w:t>
      </w:r>
      <w:r>
        <w:rPr>
          <w:rFonts w:ascii="Times New Roman;Times;Serif" w:hAnsi="Times New Roman;Times;Serif"/>
          <w:b w:val="false"/>
          <w:i w:val="false"/>
          <w:caps w:val="false"/>
          <w:smallCaps w:val="false"/>
          <w:sz w:val="20"/>
          <w:shd w:fill="FFFFFF" w:val="clear"/>
        </w:rPr>
        <w:t>The Reverse Split will affect all holders of Aptorum stock uniformly and (before giving effect to any share issuances pursuant to the Merger), will not alter any stockholder’s percentage ownership interest in Aptorum. </w:t>
      </w:r>
      <w:r>
        <w:rPr>
          <w:rFonts w:ascii="Times New Roman;Times;Serif" w:hAnsi="Times New Roman;Times;Serif"/>
          <w:b w:val="false"/>
          <w:i w:val="false"/>
          <w:caps w:val="false"/>
          <w:smallCaps w:val="false"/>
          <w:sz w:val="20"/>
        </w:rPr>
        <w:t>No fractional shares will be issued; fractional shares will be rounded up to the nearest whole number at the broker level, not at the individual beneficial level. The Reverse Split only impacts Aptorum’s shares outstanding and authorized capital; it does not impact the post-Merger entity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shareholders holding their shares electronically in book-entry form are not required to take any action to receive post-split shares. Aptorum shareholders holding shares through a bank, broker, or other nominee will have their positions automatically adjusted to reflect the Reverse Split, subject to their brokers’ particular processes, and will not be required to take any action in connection with the Reverse Split. For those Aptorum shareholders holding physical stock certificates, the Company’s transfer agent, Continental Stock Transfer &amp; Trust, will send instructions for exchanging those certificates for shares held electronically in book-entry form or for new certificates, in either case representing the post-split number of shares. Continental Stock Transfer &amp; Trust can be reached at 212-845-3256.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Aptorum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Aptorum Group Limited (Nasdaq: APM) is a clinical stage biopharmaceutical company dedicated to the discovery, development and commercialization of therapeutic assets to treat diseases with unmet medical needs, particularly in oncology (including orphan oncology indications) and infectious diseases. For more information, please visit the company’s website at www.aptorumgroup.com.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DiamiR Biosciences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DiamiR Biosciences Corp. (“DiamiR”) </w:t>
      </w:r>
      <w:r>
        <w:rPr>
          <w:rFonts w:ascii="Times New Roman;Times;Serif" w:hAnsi="Times New Roman;Times;Serif"/>
          <w:b w:val="false"/>
          <w:i w:val="false"/>
          <w:caps w:val="false"/>
          <w:smallCaps w:val="false"/>
          <w:sz w:val="20"/>
        </w:rPr>
        <w:t>is a private molecular diagnostics company focused on developing and commercializing minimally invasive tests offered through its CLIA-certified, CAP-accredited laboratory for early detection and monitoring of brain health conditions and other diseases in clinical trials and clinical practice settings. DiamiR’s proprietary platform technology, protected by over 50 issued patents worldwide, is based on quantitative analysis of organ-enriched, including brain-enriched and inflammation-associated, microRNA signatures in plasma for screening, patient stratification, as well as disease progression and treatment monitoring. In addition, DiamiR offers protein and genetic biomarker analyses. DiamiR collaborates with leading academic centers, disease foundations, and biopharma companies. For more information, please visit the company’s website at www.diamirbio.com and connect with DiamiR on LinkedIn.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between Aptorum Group and DiamiR Biosciences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was previously announced on July 16, 2025, Aptorum Group and DiamiR entered into a definitive agreement for an all-stock merger transaction. On June 9, 2026 shareholders of both companies approved the merger. The completion of the merger remains subject to the satisfaction or waiver of the remaining customary closing conditions described in the merger agreement. The companies currently expect the transaction to close before fiscal 2027. Upon closing of the merger, DiamiR will become a wholly-owned subsidiary of Aptorum Group, and the combined company will be renamed Niki BioSolutions, Inc., a Delaware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consummation and closing of the proposed merger, the satisfactory completion of all conditions to the merger, the effect of the reverse stock split, Aptorum’s and DiamiR’s  ability to successfully operate its business and provide value to stockholders after completion of the merger, Aptorum’s and DiamiR’s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Aptorum’s and DiamiR’s industry, outlook and market trends; total addressable market and serviceable addressable market and related projections; plans, strategies and expectations for increasing revenue and executing growth initiatives.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industries in which Aptorum and DiamiR operate may differ materially from those made in or suggested by the forward-looking statements. Therefore, investors should not rely on any of these forward-looking statements. Factors that may cause actual results to differ materially include changes in the markets in which Aptorum and DiamiR operate, the financial markets, economic, business and regulatory and other factors, such as Aptorum’s and DiamiR’s ability to execute on their strategies. More detailed information about risk factors can be found in the Aptorum’s Annual Report on Form 20-F under the heading “Risk Factors,” and in other reports filed by the Aptorum, including reports on Form 6-K and the registration statement on Form S-4 (File No. 333-290742) that the SEC declared effective on May 13, 2026. Aptorum and DiamiR do not undertake any duty to update forward-looking statements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buy or sell or the solicitation of an offer to buy or sell any securities, or a solicitation of any proxy, consent, authorization,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Merger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Aptorum filed a current report on Form 6-K to disclose additional details about the merger and a registration statement on Form S-4 with the SEC. Investors and security holders of Aptorum are advised to read the Form S-4, and amendments thereto because they contain important information about the transaction and the parties to the transaction, and are urged to read the prospectus and the other relevant materials before making any investment decision with respect to the Merger. Shareholders can obtain copies of the documents, without charge, at the SEC’s website at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by directing a request to: Ian Huen, telephone: +44 20 80929299.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A copy of Aptorum’s registration statement on Form S-4 can be viewed on the SEC’s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investor.relations@aptorumgroup.com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+44 20 80929299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9826201ex99-2.htm"/>
      <w:bookmarkStart w:id="39" w:name="ksea029826201ex992"/>
      <w:bookmarkEnd w:id="38"/>
      <w:bookmarkEnd w:id="39"/>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this Equity Incentive Plan (the “Plan”) are to encourage selected employees, officers, directors and consultants of NIKI BIOSOLUTIONS, INC. (together with any successor thereto, the “Company”) and its Affiliates (as defined below) to acquire a proprietary interest in the growth and performance of the Company, to generate an increased incentive to contribute to the Company’s future success and prosperity, thus enhancing the value of the Company for the benefit of its stockholders, and to enhance the ability of the Company and its Affiliates to attract and retain exceptionally qualified individuals upon whom, in large measure, the sustained progress, growth and profitability of the Company depend.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terms shall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“Affiliate” shall mean (i) any entity that, directly or through one or more intermediaries, is controlled by the Company and (ii) any entity in which the Company has a significant equity interest, as determined by the Board of Directors (the “Board”) or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 shall mean any Option, Stock Appreciation Right, Restricted Stock, Restricted Stock Unit, Performance Award, Dividend Equivalent, or Other Stock-Based Award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“Award Agreement” shall mean any written agreement, contract, or other instrument or document evidencing any Award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“Code” shall mean the Internal Revenue Code of 1986,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“Consultant” shall mean a consultant or adviser who provides bona fide services to the Company or an Affiliate as an independent contractor. Service as a consultant shall be considered employment for all purposes of the Plan, except for purposes of satisfying the requirements of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“Committee” shall mean a committee of not fewer than two members, each of whom is a member of the Board and all of whom are disinterested persons, as contemplated by Rule 16b-3 (“Rule 16b-3”) promulgated under the Securities Exchange Act of 1934, as amended (“Exchange Act”) and each of whom is an outside director for purposes of Section 162(m) of the Code, acting in accordance with the provisions of Section 3, designated by the Board to administer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“Director” shall mean any director of the Company or of any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“Dividend Equivalent” shall mean any right granted under Section 6(e)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“Employee” shall mean any employee of the Company or of any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“Fair Market Value” shall mean, with respect to any property (including, without limitation, any Shares or other Securities), the fair market value of such property determined by such methods or procedures as shall be established from time to time by the Board or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“Incentive Stock Option” shall mean an option granted under Section 6(a) of the Plan that is intended to meet the requirements of Section 422 of the Code, or any successor provision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“Non-Qualified Stock Option” shall mean an option granted under Section 6(a) of the Plan that is not intended to be an Incentive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“Officer” shall mean any officer of the Company or of any Affiliate who performs a policy and decision making functions, or any other person who performs similar policy and decision making functions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“Option” shall mean an Incentive Stock Option or a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 Stock-Based Award” shall mean any right granted under Section 6(f)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“Participant” shall mean any person that renders bona fide services to the Company (including, without limitation, the following: a person employed by the Company or an Affiliate in a key capacity; an officer or director of the Company; a person engaged by the Company as a consultant; or a lawyer, law firm, accountant or accounting firm) who receives an Award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“Performance Award” shall mean any right granted under Section 6(d)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“Person” shall mean any individual, corporation, partnership, association, joint-stock company, trust, unincorporated organization, or government or political subdivision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“Released Securities” shall mean shares of Restricted Stock as to which all restrictions imposed by the Board or the Committee have expired, lapsed, or been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“Restricted Stock” shall mean any Share granted under Section 6(c)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“Restricted Stock Unit” shall mean any right granted under Section 6(c) of the Plan that is denominated in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“Shares” shall mean the shares of common stock of the Company, $0.0001 par value, and such other securities or property as may become the subject of Awards, or become subject to Awards, pursuant to an adjustment made under Section 4(b)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“Stock Appreciation Right” shall mean any right granted under Section 6(b)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the Board; provided, however, that the Board may delegate such administration to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Plan, the Board and/or the Committee shall have authority to (a) determine the type or types of Awards to be granted to each Participant under the Plan; (b) determine the number of Shares to be covered by (or with respect to which payments, rights, or other matters are to be calculated in connection with) Awards; (c) determine the terms and conditions of any award; (d) determine the time or times when each Award shall become exercisable and the duration of the exercise period; (e)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(f) determine whether, to what extent, and under what circumstances cash, shares, other securities, other Awards, other property, and other amounts payable with respect to an Award under the Plan shall be deferred either automatically or at the election of the holder thereof or of the Board or the Committee; (g) construe and interpret the Plan; (h) promulgate, amend and rescind rules and regulations relating to its administration, and correct defects, omissions and inconsistencies in the Plan or any Award; (i) consistent with the Plan and with the consent of the Participant, as appropriate, amend any outstanding Award or amend the exercise date or dates; (j) determine the duration and purpose of leaves of absence which may be granted to Participants without constituting termination of their employment for the purpose of the Plan; and (k) make all other determinations necessary or advisable for the Plan’s administration. The Board and the Committee’s interpretation and construction of any provisions of the Plan or of any Award shall be conclusive and final. No member of the Board or the Committee shall be liable for any action or determination made in good faith with respect to the Plan or any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Award that is intended to qualify as performance-based compensation for purposes of Section 162(m) of the Code, once the Award is made, neither the Board nor Committee shall have discretion to increase the amount of compensation payable under the Award that would otherwise be due upon attainment of the performance goal.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SHARES AVAILABLE FOR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AVAILABLE. Subject to adjustment as provided in Section 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CALCULATION OF NUMBER OF SHARES AVAILABLE. </w:t>
      </w:r>
      <w:r>
        <w:rPr>
          <w:rFonts w:ascii="Times New Roman;Times;Serif" w:hAnsi="Times New Roman;Times;Serif"/>
          <w:b w:val="false"/>
          <w:i w:val="false"/>
          <w:caps w:val="false"/>
          <w:smallCaps w:val="false"/>
          <w:sz w:val="20"/>
          <w:shd w:fill="FFFFFF" w:val="clear"/>
        </w:rPr>
        <w:t xml:space="preserve">The maximum number of Shares reserved and available for granting Awards under the Plan shall be </w:t>
      </w:r>
      <w:r>
        <w:rPr>
          <w:rFonts w:ascii="Times New Roman;Times;Serif" w:hAnsi="Times New Roman;Times;Serif"/>
          <w:b w:val="false"/>
          <w:i w:val="false"/>
          <w:caps w:val="false"/>
          <w:smallCaps w:val="false"/>
          <w:sz w:val="20"/>
        </w:rPr>
        <w:t xml:space="preserve">an aggregate of (i) 4,500,000shares of Common Stock, and (ii) </w:t>
      </w:r>
      <w:r>
        <w:rPr>
          <w:rFonts w:ascii="Times New Roman;Times;Serif" w:hAnsi="Times New Roman;Times;Serif"/>
          <w:b w:val="false"/>
          <w:i w:val="false"/>
          <w:caps w:val="false"/>
          <w:smallCaps w:val="false"/>
          <w:sz w:val="20"/>
          <w:shd w:fill="FFFFFF" w:val="clear"/>
        </w:rPr>
        <w:t>on each January 1, starting with January 1, 2027, an additional number of shares equal to the lesser of (A) 5% of the outstanding number of Shares (on a fully-diluted basis) on the immediately preceding December 31, and (B) such lower number of Shares as may be determined by the Committee, subject in all cases to adjustment as provided in Section 4(b) below.Further, if, after the effective date of the Plan, any Shares covered by an Award granted under the Plan or to which such an Award relates, are forfeited, or if an Award otherwise terminates without the delivery of Shares or of other consideration, then the Shares covered by such Award,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forward or reverse stock splits, recapitalizations, or combination of the authorized, issued and outstanding shares of common stock, the aforesaid maximum 4,500,000 shares of common stock, as adjusted as per section 4(a)(i) above, and the exercise prices of Awards and Shares granted under the Plan shall be appropriately adjusted, as per Section 4(b) below.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ACCOUNTING FOR AWARDS. For purposes of this Section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 Award (other than a Dividend Equivalent) is denominated in Shares, the number of Shares covered by such Award, or to which such Award relates, shall be counted on the date of grant of such Award against the aggregate number of Shares available for granting Awards under the Plan; and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 Equivalents and Awards not denominated in Shares shall not be counted against the aggregate number of Shares available for granting Awards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SOURCES OF SHARES DELIVERABLE UNDER AWARDS. Any shares delivered pursuant to an Award may consist, in whole or in part, of authorized and unissued Shares or of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ADJUSTMENTS. In the event that the Board or the Committee shall determine that any dividend or other distribution (whether in the form of cash, Shares, other securities, or other property), recapitalization, stock split, reverse stock split, reorganization, merger, consolidation, split-up, spin-off, combination, purchase, or exchange of Shares or other securities of the Company, issuance of warrants or other rights to purchase Shares or other securities of the Company, or other similar corporate transaction or event affects the Shares such that an adjustment is determined by the Board or the Committee to be appropriate in order to prevent dilution or enlargement of the benefits or potential benefits intended to be made available under the Plan, then the Board or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(iii) the number and type of Shares (or other securities or property) specified as the annual per-participant limitation under Section 6(g)(vi), and (iv)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thereto; and provided, further, however, that the number of Shares subject to any award denominated in Shares shall always be a whole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Officer, Director or Consultant of the Company shall be eligible to receive Awards under the Plan. The Board shall approve any Awards granted to members of the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OPTIONS. The Board and the Committee are hereby authorized to grant Options which are consistent with the provisions of the Plan, as the Board or the Committee shall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EXERCISE PRICE. The exercise price per Share of each Option shall be determined by the Board or the Committee; provided, however, that such exercise price per Share under any Incentive Stock Option shall not be less than 100% (110% in the case of a “10-percent stockholder” as such term is used in Section 422(c)(5) of the Code) of the Fair Market Value of a Share on the date of grant of such Incentive Stock Option.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OPTION TERM. The term of each Option shall be fixed by the Board or the Committee, provided that no Incentive Stock Option shall have a term greater than 10 years (5 years in the case of a “10-percent stockholder”) as such term is used in Section 422(c)(5)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TIME AND METHOD OF EXERCISE. The Board or the Committee shall determine the time or times at which an Option may be exercised in whole or in part, and the method or methods by which, property, or any combination thereof, having a Fair Market Value on the exercise date equal to the relevant exercise price, in which, payment of the exercise price with respect thereto may be made or deemed to have been made.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INCENTIVE STOCK OPTIONS. The terms of any Incentive Stock Option granted under the Plan shall comply in all respects with the provisions of Section 422 of the Code, or any successor provision thereto, and any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STOCK APPRECIATION RIGHTS. The Board and the Committee are hereby authorized to grant Stock Appreciation Rights. A Stock Appreciation Right granted under the Plan shall confer on the holder thereof a right to receive, upon exercise thereof, the excess of (1) the Fair Market Value of one Share on the date of exercise or, if the Board or the Committee shall so determine in the case of any such right other than one related to any Incentive Stock Option, at any time during a specified period before or after the date of exercise over (2) the grant price of the right as specified by the Board or the Committee. Subject to the terms of the Plan, the grant price, term, methods of exercise, methods of settlement, and any other terms and conditions of any Stock Appreciation Right shall be as determined by the Board or the Committee. The Board and the Committee may impose such conditions or restrictions on the exercise of any Stock Appreciation Right as it may deem appropriate.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RESTRICTED STOCK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ISSUANCE. The Board and the Committee are hereby authorized to grant Awards of Restricted Stock and 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RESTRICTIONS. Shares of Restricted Stock and Restricted Stock Units shall be subject to such restrictions as the Board or the Committee may impose (including, without limitation, any limitation on the right to receive any dividend or other right or property), which restrictions may lapse separately or in combination at such time or times, in such installments or otherwise, as the Board or the Committee may deem appropriate.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REGISTRATION. Any Restricted Stock granted under the Plan may be evidenced in such manner as the Board or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FORFEITURE. Except as otherwise determined by the Board or the Committee, upon termination of employment (as determined under criteria established by the Board or the Committee) for any reason during the applicable restriction period, all Shares of Restricted Stock and all Restricted Stock Units still, in either case, subject to restriction shall be forfeited and reacquired by the Company; provided, however, that the Board or the Committee may, when it finds that a waiver would be in the best interests of the Company, waive in whole or in part any or all remaining restrictions with respect to Shares of Restricted Stock or Restricted Stock Units. Unrestricted Shares, evidenced in such manner as the Board or the Committee shall deem appropriate, shall be delivered to the Participant promptly after such Restricted Stock shall become Released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PERFORMANCE AWARDS. The Board and the Committee are hereby authorized to grant Performance Awards. Subject to the terms of the Plan, a Performance Award granted under the Plan (i) may be denominated or payable in cash, Shares (including, without limitation, Restricted Stock), other securities, other Awards, or other property and (ii) shall confer on the holder thereof rights valued as determined by the Board or the Committee and payable to, or exercisable by, the holder of the Performance Award, in whole or in part, upon the achievement of such performance goals during such performance periods as the Board or the Committee shall establish. Subject to the terms of the Plan and any applicable Award Agreement, the performance goals to be achieved during any performance period, the length of any performance period, the amount of any Performance Award granted, and the amount of any payment or transfer to be made pursuant to any Performance Award shall be determined by the Board or the Committee. The goals established by the Board or the Committee shall be based on any one, or combination of, earnings per share, return on equity, return on assets, total stockholder return, net operating income, cash flow, revenue, economic value added, increase in Share price or cash flow return on investment, or any other measure the Board or the Committee deems appropriate. Partial achievement of the goal(s) may result in a payment or vesting corresponding to the degree of achievement.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DIVIDEND EQUIVALENTS. The Board and the Committee are hereby authorized to grant Awards under which the holders thereof shall be entitled to receive payments equivalent to dividends or interest with respect to a number of Shares determined by the Board or the Committee, and the Board and the Committee may provide that such amounts (if any) shall be deemed to have been reinvested in additional Shares or otherwise reinvested. Subject to the terms of the Plan, such Awards may have such terms and conditions as the Board or the Committee shall determine.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OTHER STOCK-BASED AWARDS. The Board and the Committee are hereby authorized to grant such other Awards that are denominated or payable in, valued in whole or in part by reference to, or otherwise based on or related to, Shares (including, without limitation, securities convertible into Shares), as are deemed by the Board or the Committee to be consistent with the purposes of the Plan, provided, however, that such grants must comply with applicable law. Subject to the terms of the Plan, the Board or the Committee shall determine the terms and conditions of such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CASH CONSIDERATION FOR AWARDS. Awards shall be granted for no cash consideration or for such minimal cash consideration as may be required by applicable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AWARDS MAY BE GRANTED SEPARATELY OR TOGETHER. Awards may, in the discretion of the Board or the Committee, be granted either alone or in addition to, in tandem with, or in substitution for any other award granted under any other plan of the Company or any Affiliate. Awards granted in addition to or in tandem with other awards, or in addition to or in tandem with awards granted under any other plan of the Company or any Affiliate, may be granted either at the same time or at a different time from the grant of such other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FORMS OF PAYMENT UNDER AWARDS. Subject to the terms of the Plan and of any applicable Award Agreement, payments or transfers to be made by the Company or an Affiliate upon the grant, exercise, or payment of an Award may be made in such form or forms as the Board or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Board or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LIMITS ON TRANSFER OF AWARDS. No Award (other than Released Securities), and no right under any such Award, shall be assignable, alienable, saleable, or transferable by a Participant otherwise than by will or by the laws of descent and distribution; provided, however, that, if so determined by the Board or the Committee, a Participant may, in the manner established by the Board or the Committee, (a) designate a beneficiary or beneficiaries to exercise the rights of the Participant, and to receive any property distributable, with respect to any Award upon the death of the Participant or (b) transfer any Award other than an Incentive Stock Option for bona fide estate planning purposes. Each Award, and each right under any Award, shall be exercisable, during the Participant’s lifetime, only by the Participant, a permitted transferee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 or any Affiliate.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TERM OF AWARDS. The term of each Award shall be for such period as may be determined by the Board or the Committee; provided, however, that in no event shall the term of any Incentive Stock Option exceed a period of ten years from the date of its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SHARE CERTIFICATES. All certificates for Shares or other securities delivered under the Plan pursuant to any Award or the exercise thereof shall be subject to such stop transfer orders and other restrictions as the Board or the Committee may deem advisable under the Plan or the rules, regulations, and other requirements of the Securities and Exchange Commission, any stock exchange upon which such Shares or other securities are then listed, and any applicable federal or state securities laws, and the Board or the Committee may cause a legend or legends to be put on any such certificates to make appropriate reference to such restrictions.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prohibited by applicable law and unless otherwise expressly provided in an Award Agreement or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AMENDMENTS TO THE PLAN. The Board may at any time amend, alter, suspend, discontinue, or terminate the Plan, including, without limitation, any amendment, alteration, suspension, discontinuation, or termination that would impair the rights of any Participant, or any other holder or beneficiary of any Award theretofore granted, without the consent of any share owner, Participant, other holder or beneficiary of an Award, or other Person; provided, however, that no such amendment shall be made without the approval of the Company’s shareholders to the extent such approval is required by Applicable Laws, or if such amendment would change any of the provisions of Section 3(a), Section 4(b)(vi) or this Section 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AMENDMENTS TO AWARDS. Unless otherwise agreed to in writing between the Company and a Participant, the Board and the Committee may waive any conditions or rights under, amend any terms of, or amend, alter, suspend, discontinue, or terminate, any Awards theretofore granted, prospectively or retroactively, without the consent of any Participant, other holder or beneficiary of an Award.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ADJUSTMENTS OF AWARDS UPON THE OCCURRENCE OF CERTAIN UNUSUAL OR NONRECURRING EVENTS. Except as provided in the following sentence, the Board and the Committee shall be authorized to make adjustments in 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Board or the Committee determines that such adjustments are appropriate in order to prevent dilution or enlargement of the benefits or potential benefits to be made available under the Plan. In the case of any Award that is intended to qualify as performance-based compensation for purposes of Section 162(m) of the Code, neither the Board nor the Committee shall have authority to adjust the Award in any manner that would cause the Award to fail to meet the requirements of Section 162(m). 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CORRECTION OF DEFECTS, OMISSIONS, AND INCONSISTENCIES. The Board and the Committee may correct any defect, supply any omission, or reconcile any inconsistency in the Plan or any Award in the manner and to the extent it shall deem desirable to carry the Plan into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RIGHTS TO AWARDS. No Employee, Participant or other Person shall have any claim to be granted any Award under the Plan, and there is no obligation for uniformity of treatment of Employees, Directors, Consultants, other holders or beneficiaries of Awards under the Plan. The terms and conditions of Awards need not be the same with respect to each recipient.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DELEGATION. The Board and the Committee may delegate to one or more officers or managers of the Company or any Affiliate, or a committee of such officers or managers, the authority, subject to such terms and limitations as the Board or Committee shall determine, to grant Awards to, or to cancel, modify, waive rights with respect to, alter, discontinue, suspend, or terminate Awards held by Employees, Consultants, or other holders or beneficiaries of Awards under the Plan who are not officers or directors of the Company for purposes of Section 16 of the Securities Exchange Act of 1934, as amended, and who also are not “covered employees” for purposes of Section 162(m)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WITHHOLDING. The Company or any Affiliate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as may be necessary in the opinion of the Company or Affiliate to satisfy all obligations for the payment of such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LIMIT ON OTHER COMPENSATION ARRANGEMENTS. Nothing contained in the Plan shall prevent the Company or any Affiliate from adopting or continuing in effect other or additional compensation arrangements, and such arrangements may be either generally applicable or applicable only in specific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RIGHT TO EMPLOYMENT. The grant of an Award shall not be construed as giving a Participant the right to remain an employee, director or consultant of the Company or any Affiliate. Further, the Company or an Affiliate may at any time terminate the service of any employee, director or consultant, free from any liability, or any claim under the Plan, unless otherwise expressly provided in the Plan or in any Award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GOVERNING LAW. The validity, construction, and effect of the Plan and any rules and regulations relating to the Plan shall be determined in accordance with the laws of the State of Delaware and applicable federal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SEVERABILITY. If any provision of the Plan or any Award is or becomes or is deemed to be invalid, illegal, or unenforceable in any jurisdiction, or as to any Person or Award, or would disqualify the Plan or any Award under any law deemed applicable by the Board or the Committee, such provision shall be construed or deemed amended to conform to applicable laws, or if it cannot be so construed or deemed amended without, in the determination of the Board or the Committee, materially altering the intent of the Plan or the Award, such provision shall be stricken as to such jurisdiction, Person, or Award, and the remainder of the Plan and any such Award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FRACTIONAL SHARES. No fractional Shares shall be issued or delivered pursuant to the Plan or any Award, and the Board and the Committee shall determine whether cash, other securities, or other property shall be paid or transferred in lieu of any fractional Share, or whether such fractional Shares of any rights thereto shall be canceled, terminated, or otherwise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HEADINGS.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EFFECTIVE DATE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Board of the Company, the Plan shall be effective on the closing date of the merger between the Company and DiamiR Biosciences Corp., a Delaware corporation (“DiamiR”), pursuant to that certain Agreement and Plan of Merger dated as of July 14, 2025, (the “Merger Agreement”) (the “Effective Date”); provided, however, that to the extent that Awards are granted under the Plan before its approval by the Board, the Awards will be contingent on approval of the Plan by the Board of the Company at a Board meeting or by written consent.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TERM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shall be granted under the Plan more than 10 years after the Effective Date. However, unless otherwise expressly provided in an applicable Award Agreement, any Award theretofore granted may extend beyond such date, and the authority of the Board and the Committee to amend, alter, adjust, suspend, discontinue, or terminate any such Award, or to waive any conditions or rights under any such Award, and the authority of the Board to amend the Plan, shall extend beyond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Equity Incentive Plan was duly adopted and approved by the Board of Directors on May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440"/>
        <w:gridCol w:w="2285"/>
        <w:gridCol w:w="75"/>
      </w:tblGrid>
      <w:tr>
        <w:trPr/>
        <w:tc>
          <w:tcPr>
            <w:tcW w:w="440" w:type="dxa"/>
            <w:tcBorders/>
            <w:vAlign w:val="center"/>
          </w:tcPr>
          <w:p>
            <w:pPr>
              <w:pStyle w:val="TableContents"/>
              <w:bidi w:val="0"/>
              <w:spacing w:before="0" w:after="283"/>
              <w:jc w:val="left"/>
              <w:rPr/>
            </w:pPr>
            <w:r>
              <w:rPr/>
              <w:t xml:space="preserve">By: </w:t>
            </w:r>
          </w:p>
        </w:tc>
        <w:tc>
          <w:tcPr>
            <w:tcW w:w="22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Ian Huen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Ian Huen</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4005/000121390025066642/ea024961501ex2-1_aptorum.htm" TargetMode="External"/><Relationship Id="rId3" Type="http://schemas.openxmlformats.org/officeDocument/2006/relationships/hyperlink" Target="https://www.sec.gov/Archives/edgar/data/1734005/000121390025066642/ea024961501ex10-1_aptorum.htm" TargetMode="External"/><Relationship Id="rId4" Type="http://schemas.openxmlformats.org/officeDocument/2006/relationships/hyperlink" Target="https://www.sec.gov/Archives/edgar/data/1734005/000121390025066642/ea024961501ex10-2_aptorum.htm" TargetMode="External"/><Relationship Id="rId5" Type="http://schemas.openxmlformats.org/officeDocument/2006/relationships/hyperlink" Target="https://www.sec.gov/Archives/edgar/data/1734005/000121390025066642/ea024961501ex10-3_aptorum.htm" TargetMode="External"/><Relationship Id="rId6" Type="http://schemas.openxmlformats.org/officeDocument/2006/relationships/hyperlink" Target="https://www.sec.gov/Archives/edgar/data/1734005/000121390025118748/ea026868301ex10-3_aptorum.htm" TargetMode="External"/><Relationship Id="rId7" Type="http://schemas.openxmlformats.org/officeDocument/2006/relationships/hyperlink" Target="https://www.sec.gov/Archives/edgar/data/1734005/000121390026034753/ea028217201ex10-3_aptorum.htm" TargetMode="External"/><Relationship Id="rId8" Type="http://schemas.openxmlformats.org/officeDocument/2006/relationships/hyperlink" Target="https://www.sec.gov/Archives/edgar/data/1734005/000121390026070672/ea029496701ex10-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34569</Words>
  <Characters>180084</Characters>
  <CharactersWithSpaces>214684</CharactersWithSpaces>
  <Paragraphs>1618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