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Philips Laura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VILLAGE BOULEVARD,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Niki BioSolutions, Inc.</w:t>
              </w:r>
            </w:hyperlink>
            <w:r>
              <w:rPr/>
              <w:t xml:space="preserve"> [ </w:t>
            </w:r>
            <w:r>
              <w:rPr>
                <w:rFonts w:ascii="Times;serif" w:hAnsi="Times;serif"/>
                <w:color w:val="0000FF"/>
                <w:sz w:val="24"/>
                <w:shd w:fill="FFFFFF" w:val="clear"/>
              </w:rPr>
              <w:t>NIKI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8.83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 as follows: (i) 2,000 options vested immediately upon the closing of the merger; and (ii) the remaining 6,000 options vest in three equal quarterly installments of 2,000 options each, commencing on the first business day of the first full quarter following the effective date of the merger.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A. Philips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1312" TargetMode="External"/><Relationship Id="rId5" Type="http://schemas.openxmlformats.org/officeDocument/2006/relationships/hyperlink" Target="http://www.sec.gov/cgi-bin/browse-edgar?action=getcompany&amp;CIK=00017340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3336</Characters>
  <CharactersWithSpaces>3883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