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7117-s3a3_nikibio.htm"/>
      <w:bookmarkStart w:id="1" w:name="ksea0307117s3a3_nikibio"/>
      <w:bookmarkEnd w:id="0"/>
      <w:bookmarkEnd w:id="1"/>
      <w:r>
        <w:rPr>
          <w:rFonts w:ascii="Times New Roman;Times;Serif" w:hAnsi="Times New Roman;Times;Serif"/>
          <w:b/>
          <w:i w:val="false"/>
          <w:caps w:val="false"/>
          <w:smallCaps w:val="false"/>
          <w:sz w:val="20"/>
        </w:rPr>
        <w:t>AS FILED WITH THE SECURITIES AND EXCHANGE COMMISSION ON OCTOBER 2,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333-298608</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Pre-Effective Amendment 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42-3265309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950 Third Avenue, 19th Floor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530-2206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206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Niki BioSolutions, Inc. (the “Registrant”) is filing this Pre-Effective Amendment No. 3 to the Registration Statement on Form S-3, originally filed on August 28, 2026 to update disclosure based on comments received from the US Securities and Exchange Commission requesting we add the disclosure regarding the legal and operational risks associated with having a significant portion of our business in Hong Kong to other sections of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Common Stock, preferred stock, warrants, subscription rights, debt securities, units, or a combination of these securities, for an aggregate offering price of up to $75,000,000.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per share (the “Common Stock”), is currently listed on the Nasdaq Capital Market under the symbol “NIKI”.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2026, the aggregate market value of our Common Stock held by non-affiliates was $5,008,895.46 based on 1,056,729 shares of outstanding Common Stock held by non-affiliates and the closing price of $4.74 on September 29,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State of Delaware with no material operations of our own, other than through our wholly owned subsidiary DiamiR Biosciences, Corp., a Delaware corporation (“DiamiR”). Through our direct and indirectly wholly owned subsidiaries, we conduct a significant portion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our operations and/or a material change in the value of our securities, including that such event could cause the value of such securities to significantly decline or become worthless. Investing in our common stock involves a high degree of risk, including the risk of losing your entire investment. We do not own substantial assets or conduct substantial operations in the People’s Republic of China (the “PRC”), but our principal business operations are conducted in Hong Kong and therefore we are considered a China-based issuer and are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applicable to the Company regarding operations in Hong Kong,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common stock.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are into the Delaware holding company, not Libra, and you may never own any equity in Libra or any other subsidiary. Therefore, we do not believe that we are required to obtain approval or clearance from the CSRC as the listing of our common stock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common stock, cause significant disruption to our business operations, and severely damage our reputation, which would materially and adversely affect our financial condition and results of operations and cause our common stock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through September 16, 2026, we have transferred the noted amount to the referenced subsidiary:</w:t>
      </w:r>
    </w:p>
    <w:p>
      <w:pPr>
        <w:pStyle w:val="TextBody"/>
        <w:bidi w:val="0"/>
        <w:spacing w:before="0" w:after="0"/>
        <w:ind w:left="0" w:right="0" w:firstLine="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64,309,272.68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1,673,592.92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17,635,261.58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5,218,255.31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Claves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Signate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tbl>
      <w:tblPr>
        <w:tblW w:w="7210" w:type="dxa"/>
        <w:jc w:val="left"/>
        <w:tblInd w:w="0" w:type="dxa"/>
        <w:tblLayout w:type="fixed"/>
        <w:tblCellMar>
          <w:top w:w="0" w:type="dxa"/>
          <w:left w:w="0" w:type="dxa"/>
          <w:bottom w:w="0" w:type="dxa"/>
          <w:right w:w="0" w:type="dxa"/>
        </w:tblCellMar>
      </w:tblPr>
      <w:tblGrid>
        <w:gridCol w:w="155"/>
        <w:gridCol w:w="7055"/>
      </w:tblGrid>
      <w:tr>
        <w:trPr/>
        <w:tc>
          <w:tcPr>
            <w:tcW w:w="155" w:type="dxa"/>
            <w:tcBorders/>
            <w:vAlign w:val="center"/>
          </w:tcPr>
          <w:p>
            <w:pPr>
              <w:pStyle w:val="TableContents"/>
              <w:bidi w:val="0"/>
              <w:spacing w:before="0" w:after="283"/>
              <w:jc w:val="left"/>
              <w:rPr/>
            </w:pPr>
            <w:r>
              <w:rPr/>
              <w:t>1</w:t>
            </w:r>
          </w:p>
        </w:tc>
        <w:tc>
          <w:tcPr>
            <w:tcW w:w="7055" w:type="dxa"/>
            <w:tcBorders/>
            <w:vAlign w:val="center"/>
          </w:tcPr>
          <w:p>
            <w:pPr>
              <w:pStyle w:val="TableContents"/>
              <w:bidi w:val="0"/>
              <w:spacing w:before="0" w:after="283"/>
              <w:jc w:val="both"/>
              <w:rPr/>
            </w:pPr>
            <w:r>
              <w:rPr/>
              <w:t>This entity has been struck off the Cayman Islands’ registry and dissolved.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Times;Serif" w:hAnsi="Times New Roman;Times;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interpretation and enforcement of PRC laws and regulations could limit the legal protection available to you and us, hinder our ability to offer or continue to offer the common stock, result in a material adverse effect on our business operations, and damage our reputation, which might further cause the common stock to significantly decline in value or become worthless. See “Risk Factors — Risks Related to Doing Business in Hong Kong,” the section “About Niki” in the Prospectus Summary and “Permission Required from the PRC Authorities” in the Regulation section.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7,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dated October 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890"/>
        <w:gridCol w:w="530"/>
      </w:tblGrid>
      <w:tr>
        <w:trPr/>
        <w:tc>
          <w:tcPr>
            <w:tcW w:w="68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sz w:val="20"/>
                </w:rPr>
                <w:t>CAUTIONARY STATEMENT REGARDING FORWARD-LOOKING STATEMENTS</w:t>
              </w:r>
            </w:hyperlink>
          </w:p>
        </w:tc>
        <w:tc>
          <w:tcPr>
            <w:tcW w:w="530" w:type="dxa"/>
            <w:tcBorders/>
            <w:shd w:fill="CCEEFF" w:val="clear"/>
            <w:vAlign w:val="center"/>
          </w:tcPr>
          <w:p>
            <w:pPr>
              <w:pStyle w:val="TableContents"/>
              <w:bidi w:val="0"/>
              <w:spacing w:before="0" w:after="283"/>
              <w:jc w:val="center"/>
              <w:rPr/>
            </w:pPr>
            <w:r>
              <w:rPr/>
              <w:t>iii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ABOUT NIKI</w:t>
              </w:r>
            </w:hyperlink>
          </w:p>
        </w:tc>
        <w:tc>
          <w:tcPr>
            <w:tcW w:w="530"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sz w:val="20"/>
                </w:rPr>
                <w:t>RISK FACTORS</w:t>
              </w:r>
            </w:hyperlink>
          </w:p>
        </w:tc>
        <w:tc>
          <w:tcPr>
            <w:tcW w:w="530" w:type="dxa"/>
            <w:tcBorders/>
            <w:shd w:fill="CCEEFF" w:val="clear"/>
            <w:vAlign w:val="center"/>
          </w:tcPr>
          <w:p>
            <w:pPr>
              <w:pStyle w:val="TableContents"/>
              <w:bidi w:val="0"/>
              <w:spacing w:before="0" w:after="283"/>
              <w:jc w:val="center"/>
              <w:rPr/>
            </w:pPr>
            <w:r>
              <w:rPr/>
              <w:t>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sz w:val="20"/>
                </w:rPr>
                <w:t>DILUTION</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 xml:space="preserve">DESCRIPTION OF SECURITIES </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sz w:val="20"/>
                </w:rPr>
                <w:t>PLAN OF DISTRIBUTION</w:t>
              </w:r>
            </w:hyperlink>
          </w:p>
        </w:tc>
        <w:tc>
          <w:tcPr>
            <w:tcW w:w="530" w:type="dxa"/>
            <w:tcBorders/>
            <w:shd w:fill="CCEEFF" w:val="clear"/>
            <w:vAlign w:val="center"/>
          </w:tcPr>
          <w:p>
            <w:pPr>
              <w:pStyle w:val="TableContents"/>
              <w:bidi w:val="0"/>
              <w:spacing w:before="0" w:after="283"/>
              <w:jc w:val="center"/>
              <w:rPr/>
            </w:pPr>
            <w:r>
              <w:rPr/>
              <w:t>95</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sz w:val="20"/>
                </w:rPr>
                <w:t>EXPERTS</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sz w:val="20"/>
                </w:rPr>
                <w:t>INCORPORATION OF CERTAIN DOCUMENTS BY REFERENCE</w:t>
              </w:r>
            </w:hyperlink>
          </w:p>
        </w:tc>
        <w:tc>
          <w:tcPr>
            <w:tcW w:w="530" w:type="dxa"/>
            <w:tcBorders/>
            <w:shd w:fill="CCEEFF" w:val="clear"/>
            <w:vAlign w:val="center"/>
          </w:tcPr>
          <w:p>
            <w:pPr>
              <w:pStyle w:val="TableContents"/>
              <w:bidi w:val="0"/>
              <w:spacing w:before="0" w:after="283"/>
              <w:jc w:val="center"/>
              <w:rPr/>
            </w:pPr>
            <w:r>
              <w:rPr/>
              <w:t>98</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Pr>
                <w:t>INDEX TO FINANCIAL STATEMENTS</w:t>
              </w:r>
            </w:hyperlink>
          </w:p>
        </w:tc>
        <w:tc>
          <w:tcPr>
            <w:tcW w:w="530"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or more offerings up to a total dollar amount of proceeds of $75,000,000. This prospectus describes the general manner in which our securities may be offered by this prospectus.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to “we,” “our,” “us,” “NIKI” or the “Company” in this prospectus mean NIKI BIOSOLUTIONS, INC., a Delaware corporation, on a consolidated basis with its wholly owned subsidiaries, including DiamiR, as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initiation, timing, progress and results of our preclinical and clinical trials, and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our ability to advance our drug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sz w:val="20"/>
              </w:rPr>
            </w:pPr>
            <w:r>
              <w:rPr>
                <w:sz w:val="20"/>
              </w:rPr>
              <w:t>our ability to identify and develop new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reliance on the success of our drug candidates currently undergoing preclinical development; in particular, our Lead Project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timing or likelihood of regulatory filings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the commercialization of our drug and device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our ability to develop sales and marketing capabilities;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sz w:val="20"/>
              </w:rPr>
            </w:pPr>
            <w:r>
              <w:rPr>
                <w:sz w:val="20"/>
              </w:rPr>
              <w:t>the pricing and reimbursement of our drug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the implementation of our business model, strategic plans for our business and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scope of protection we are able to establish and maintain for IP rights covering our drug and device candidates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our ability to operate our business without infringing the IP rights and proprietary technology of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sz w:val="20"/>
              </w:rPr>
            </w:pPr>
            <w:r>
              <w:rPr>
                <w:sz w:val="20"/>
              </w:rPr>
              <w:t>costs associated with defending IP infringement, product liability and other claims;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regulatory development in the U.S., Europe and PRC and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sz w:val="20"/>
              </w:rPr>
            </w:pPr>
            <w:r>
              <w:rPr>
                <w:sz w:val="20"/>
              </w:rPr>
              <w:t>estimates of our expenses, future revenues,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potential benefits of strategic collaboration agreements and our ability to enter into strategic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and establish collaborations or obtain additional grant funding; the rate and degree of market acceptance of our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sz w:val="20"/>
              </w:rPr>
            </w:pPr>
            <w:r>
              <w:rPr>
                <w:sz w:val="20"/>
              </w:rPr>
              <w:t>developments relating to our competitors and industry, including competing therapies;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sz w:val="20"/>
              </w:rPr>
            </w:pPr>
            <w:r>
              <w:rPr>
                <w:sz w:val="20"/>
              </w:rPr>
              <w:t>our ability to effectively manage our anticipated growth;</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our ability to attract and retain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statements regarding future revenue, hiring plans, expenses, capital expenditures, capital requirements and share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the future trading price of our Common Stock and impact of securities analysts’ reports on these prices;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other risks and uncertainties, including those listed under the caption “Risk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under the section “Risk Factors” included herein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PROSPECTUS SUMMARY</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ABOUT NIKI</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20, 2026 (the “Closing Date”), after obtaining the requisite shareholder approval and satisfying the closing conditions, Niki BioSolutions, Inc. (formerly known as Aptorum Group Limited, a Cayman Islands exempted company with limited liability (“Aptorum”))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or “Business Combination”).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Common Stock, trades on Nasdaq under the symbol “NIKI”. In connection with the name change, the CUSIP number for the Common Stock is </w:t>
      </w:r>
      <w:r>
        <w:rPr>
          <w:rFonts w:ascii="Times New Roman;Times;Serif" w:hAnsi="Times New Roman;Times;Serif"/>
          <w:b w:val="false"/>
          <w:i/>
          <w:caps w:val="false"/>
          <w:smallCaps w:val="false"/>
          <w:sz w:val="20"/>
          <w:bdr w:val="single" w:sz="12" w:space="1" w:color="000000"/>
        </w:rPr>
        <w:t>653942 102</w:t>
      </w:r>
      <w:r>
        <w:rPr>
          <w:rFonts w:ascii="Times New Roman;Times;Serif" w:hAnsi="Times New Roman;Times;Serif"/>
          <w:b w:val="false"/>
          <w:i w:val="false"/>
          <w:caps w:val="false"/>
          <w:smallCaps w:val="false"/>
          <w:sz w:val="20"/>
          <w:bdr w:val="single" w:sz="12" w:space="1" w:color="000000"/>
        </w:rPr>
        <w:t xml:space="preserve">.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Domestication, each of Aptorum’s then issued and outstanding Class A ordinary share, par value $0.00001 per share (the “Aptorum Class A ordinary shares”) converted automatically, on a one-for-one basis, into a share of our Common Stock, and each then issued and outstanding Class B ordinary share of Aptorum converted automatically into a share of our Common Stock and a share of Niki’s non-voting and non-convertible Series A preferred stock (the “Series A Preferred Stock”).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Merger, each then-outstanding share of DiamiR’s common stock was converted into a number of shares of our Common Stock equal to the Conversion Ratio, which was the number resulting from dividing (i) 0.4102, which is the quotient of dividing the total number of Aptorum’s Class A ordinary shares on a fully diluted basis by the total number of shares of DiamiR common stock on a fully diluted basis, by (ii) three-sevenths (3/7). Following the Merger, DiamiR became a wholly owned subsidiary of Niki.</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currently listed on The Nasdaq Capital Market under the symbol “NIKI.”</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rights of holders of our Common Stock are governed by our certificate of incorporation (the “Charter”), our bylaws (the “Bylaws”) and the Delaware General Corporation Law (the “DGCL”).</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116 Village Boulevard, Suite 200, Princeton, NJ 08540. Our telephone number is (609)-951-2222.</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Associated with being based in Hong Kong</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Our subsidiaries’ business, our financial condition and results of operations, and/or the value of our Common Stock or our ability to offer or continue to offer securities to investors may be materially and adversely affected by existing or future PRC laws and regulations.”</w:t>
      </w:r>
      <w:r>
        <w:rPr>
          <w:rFonts w:ascii="Times New Roman;Times;Serif" w:hAnsi="Times New Roman;Times;Serif"/>
          <w:b w:val="false"/>
          <w:i w:val="false"/>
          <w:caps w:val="false"/>
          <w:smallCaps w:val="false"/>
          <w:sz w:val="20"/>
          <w:bdr w:val="single" w:sz="12" w:space="1" w:color="000000"/>
        </w:rPr>
        <w:t xml:space="preserve"> on page 54.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State of Delaware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future secondary offerings, and listing. If we are subject to the filing requirements, we cannot assure you that we will be able to complete such filings in a timely manner or even at all.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xml:space="preserve">” on page 49.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xml:space="preserve">” on page 51.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Common Stock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Common Stock is prohibited under the HFCA Act because the PCAOB determines that it cannot inspect or fully investigate our auditor at such future time, Nasdaq may determine to delist our Common stock and trading in our Common stock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Times;Serif" w:hAnsi="Times New Roman;Times;Serif"/>
          <w:b w:val="false"/>
          <w:i/>
          <w:caps w:val="false"/>
          <w:smallCaps w:val="false"/>
          <w:sz w:val="20"/>
          <w:bdr w:val="single" w:sz="12" w:space="1" w:color="000000"/>
        </w:rPr>
        <w:t>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Times;Serif" w:hAnsi="Times New Roman;Times;Serif"/>
          <w:b w:val="false"/>
          <w:i w:val="false"/>
          <w:caps w:val="false"/>
          <w:smallCaps w:val="false"/>
          <w:sz w:val="20"/>
          <w:bdr w:val="single" w:sz="12" w:space="1" w:color="000000"/>
        </w:rPr>
        <w:t xml:space="preserve">.” on page 42.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Pursuant to the Merger Agreement, DiamiR is now one of our wholly owned subsidiaries.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Regulations</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shd w:fill="FFFFFF" w:val="clear"/>
        </w:rPr>
        <w:t>This section sets forth a summary of the most significant rules and regulations that affect our business activities in China or the rights of our stockholders to receive dividends and other distributions from us.</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Permission Required from the PRC Authorities</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its ability to accept foreign investments and the listing of our Common Stock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our Common Stock to significantly decline or become worthless. (Please see the risk factor section, “Risks Related to our Corporate Structure” and “Risks Related to Doing Business in Hong Kong” for more information).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Hong Kong Regulation</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48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The operations of laboratory in Hong Kong are subject to certain general laws and regulations.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Waste Disposal Ordinance</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Under the WDO, clinical waste means waste consisting of any substance, matter or thing generated in connection with: </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4360" w:type="dxa"/>
        <w:jc w:val="left"/>
        <w:tblInd w:w="0" w:type="dxa"/>
        <w:tblLayout w:type="fixed"/>
        <w:tblCellMar>
          <w:top w:w="0" w:type="dxa"/>
          <w:left w:w="0" w:type="dxa"/>
          <w:bottom w:w="0" w:type="dxa"/>
          <w:right w:w="0" w:type="dxa"/>
        </w:tblCellMar>
      </w:tblPr>
      <w:tblGrid>
        <w:gridCol w:w="135"/>
        <w:gridCol w:w="230"/>
        <w:gridCol w:w="39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995" w:type="dxa"/>
            <w:tcBorders/>
            <w:vAlign w:val="center"/>
          </w:tcPr>
          <w:p>
            <w:pPr>
              <w:pStyle w:val="TableContents"/>
              <w:bidi w:val="0"/>
              <w:spacing w:before="0" w:after="283"/>
              <w:jc w:val="both"/>
              <w:rPr>
                <w:sz w:val="20"/>
              </w:rPr>
            </w:pPr>
            <w:r>
              <w:rPr>
                <w:rFonts w:ascii="Times New Roman;Times;Serif" w:hAnsi="Times New Roman;Times;Serif"/>
                <w:sz w:val="20"/>
              </w:rPr>
              <w:t>a dental, medical, nursing or veterinary practice;</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10205" w:type="dxa"/>
        <w:jc w:val="left"/>
        <w:tblInd w:w="0" w:type="dxa"/>
        <w:tblLayout w:type="fixed"/>
        <w:tblCellMar>
          <w:top w:w="0" w:type="dxa"/>
          <w:left w:w="0" w:type="dxa"/>
          <w:bottom w:w="0" w:type="dxa"/>
          <w:right w:w="0" w:type="dxa"/>
        </w:tblCellMar>
      </w:tblPr>
      <w:tblGrid>
        <w:gridCol w:w="117"/>
        <w:gridCol w:w="212"/>
        <w:gridCol w:w="9876"/>
      </w:tblGrid>
      <w:tr>
        <w:trPr/>
        <w:tc>
          <w:tcPr>
            <w:tcW w:w="117" w:type="dxa"/>
            <w:tcBorders/>
            <w:vAlign w:val="center"/>
          </w:tcPr>
          <w:p>
            <w:pPr>
              <w:pStyle w:val="TableContents"/>
              <w:bidi w:val="0"/>
              <w:spacing w:before="0" w:after="283"/>
              <w:jc w:val="left"/>
              <w:rPr/>
            </w:pPr>
            <w:r>
              <w:rPr/>
              <w:t xml:space="preserve">  </w:t>
            </w:r>
          </w:p>
        </w:tc>
        <w:tc>
          <w:tcPr>
            <w:tcW w:w="212" w:type="dxa"/>
            <w:tcBorders/>
            <w:vAlign w:val="center"/>
          </w:tcPr>
          <w:p>
            <w:pPr>
              <w:pStyle w:val="TableContents"/>
              <w:bidi w:val="0"/>
              <w:spacing w:before="0" w:after="283"/>
              <w:jc w:val="left"/>
              <w:rPr/>
            </w:pPr>
            <w:r>
              <w:rPr/>
              <w:t xml:space="preserve">● </w:t>
            </w:r>
          </w:p>
        </w:tc>
        <w:tc>
          <w:tcPr>
            <w:tcW w:w="9876" w:type="dxa"/>
            <w:tcBorders/>
            <w:vAlign w:val="center"/>
          </w:tcPr>
          <w:p>
            <w:pPr>
              <w:pStyle w:val="TableContents"/>
              <w:bidi w:val="0"/>
              <w:spacing w:before="0" w:after="283"/>
              <w:jc w:val="both"/>
              <w:rPr>
                <w:sz w:val="20"/>
              </w:rPr>
            </w:pPr>
            <w:r>
              <w:rPr>
                <w:rFonts w:ascii="Times New Roman;Times;Serif" w:hAnsi="Times New Roman;Times;Serif"/>
                <w:sz w:val="20"/>
              </w:rPr>
              <w:t>any other practice, or establishment (howsoever described), that provides medical care and services for the sick, injured, infirm or those who require medical treatment;</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6910" w:type="dxa"/>
        <w:jc w:val="left"/>
        <w:tblInd w:w="0" w:type="dxa"/>
        <w:tblLayout w:type="fixed"/>
        <w:tblCellMar>
          <w:top w:w="0" w:type="dxa"/>
          <w:left w:w="0" w:type="dxa"/>
          <w:bottom w:w="0" w:type="dxa"/>
          <w:right w:w="0" w:type="dxa"/>
        </w:tblCellMar>
      </w:tblPr>
      <w:tblGrid>
        <w:gridCol w:w="135"/>
        <w:gridCol w:w="230"/>
        <w:gridCol w:w="654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545" w:type="dxa"/>
            <w:tcBorders/>
            <w:vAlign w:val="center"/>
          </w:tcPr>
          <w:p>
            <w:pPr>
              <w:pStyle w:val="TableContents"/>
              <w:bidi w:val="0"/>
              <w:spacing w:before="0" w:after="283"/>
              <w:jc w:val="both"/>
              <w:rPr>
                <w:sz w:val="20"/>
              </w:rPr>
            </w:pPr>
            <w:r>
              <w:rPr>
                <w:rFonts w:ascii="Times New Roman;Times;Serif" w:hAnsi="Times New Roman;Times;Serif"/>
                <w:sz w:val="20"/>
              </w:rPr>
              <w:t>dental, medical, nursing, veterinary, pathological or pharmaceutical research; or</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5650" w:type="dxa"/>
        <w:jc w:val="left"/>
        <w:tblInd w:w="0" w:type="dxa"/>
        <w:tblLayout w:type="fixed"/>
        <w:tblCellMar>
          <w:top w:w="0" w:type="dxa"/>
          <w:left w:w="0" w:type="dxa"/>
          <w:bottom w:w="0" w:type="dxa"/>
          <w:right w:w="0" w:type="dxa"/>
        </w:tblCellMar>
      </w:tblPr>
      <w:tblGrid>
        <w:gridCol w:w="135"/>
        <w:gridCol w:w="230"/>
        <w:gridCol w:w="52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85" w:type="dxa"/>
            <w:tcBorders/>
            <w:vAlign w:val="center"/>
          </w:tcPr>
          <w:p>
            <w:pPr>
              <w:pStyle w:val="TableContents"/>
              <w:bidi w:val="0"/>
              <w:spacing w:before="0" w:after="283"/>
              <w:jc w:val="both"/>
              <w:rPr>
                <w:sz w:val="20"/>
              </w:rPr>
            </w:pPr>
            <w:r>
              <w:rPr>
                <w:rFonts w:ascii="Times New Roman;Times;Serif" w:hAnsi="Times New Roman;Times;Serif"/>
                <w:sz w:val="20"/>
              </w:rPr>
              <w:t>a dental, medical, veterinary or pathological laboratory practice,</w:t>
            </w:r>
            <w:r>
              <w:rPr>
                <w:sz w:val="20"/>
              </w:rPr>
              <w:t xml:space="preserve"> </w:t>
            </w:r>
          </w:p>
        </w:tc>
      </w:tr>
    </w:tbl>
    <w:p>
      <w:pPr>
        <w:pStyle w:val="TextBody"/>
        <w:bidi w:val="0"/>
        <w:spacing w:before="0" w:after="0"/>
        <w:ind w:left="48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and which consists wholly or partly of any of the materials specified in one or more of the groups listed below: </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2800" w:type="dxa"/>
        <w:jc w:val="left"/>
        <w:tblInd w:w="0" w:type="dxa"/>
        <w:tblLayout w:type="fixed"/>
        <w:tblCellMar>
          <w:top w:w="0" w:type="dxa"/>
          <w:left w:w="0" w:type="dxa"/>
          <w:bottom w:w="0" w:type="dxa"/>
          <w:right w:w="0" w:type="dxa"/>
        </w:tblCellMar>
      </w:tblPr>
      <w:tblGrid>
        <w:gridCol w:w="135"/>
        <w:gridCol w:w="230"/>
        <w:gridCol w:w="24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435" w:type="dxa"/>
            <w:tcBorders/>
            <w:vAlign w:val="center"/>
          </w:tcPr>
          <w:p>
            <w:pPr>
              <w:pStyle w:val="TableContents"/>
              <w:bidi w:val="0"/>
              <w:spacing w:before="0" w:after="283"/>
              <w:jc w:val="both"/>
              <w:rPr>
                <w:sz w:val="20"/>
              </w:rPr>
            </w:pPr>
            <w:r>
              <w:rPr>
                <w:rFonts w:ascii="Times New Roman;Times;Serif" w:hAnsi="Times New Roman;Times;Serif"/>
                <w:sz w:val="20"/>
              </w:rPr>
              <w:t>used or contaminated sharps;</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1840" w:type="dxa"/>
        <w:jc w:val="left"/>
        <w:tblInd w:w="0" w:type="dxa"/>
        <w:tblLayout w:type="fixed"/>
        <w:tblCellMar>
          <w:top w:w="0" w:type="dxa"/>
          <w:left w:w="0" w:type="dxa"/>
          <w:bottom w:w="0" w:type="dxa"/>
          <w:right w:w="0" w:type="dxa"/>
        </w:tblCellMar>
      </w:tblPr>
      <w:tblGrid>
        <w:gridCol w:w="135"/>
        <w:gridCol w:w="230"/>
        <w:gridCol w:w="14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1475" w:type="dxa"/>
            <w:tcBorders/>
            <w:vAlign w:val="center"/>
          </w:tcPr>
          <w:p>
            <w:pPr>
              <w:pStyle w:val="TableContents"/>
              <w:bidi w:val="0"/>
              <w:spacing w:before="0" w:after="283"/>
              <w:jc w:val="both"/>
              <w:rPr>
                <w:sz w:val="20"/>
              </w:rPr>
            </w:pPr>
            <w:r>
              <w:rPr>
                <w:rFonts w:ascii="Times New Roman;Times;Serif" w:hAnsi="Times New Roman;Times;Serif"/>
                <w:sz w:val="20"/>
              </w:rPr>
              <w:t>laboratory waste;</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2590" w:type="dxa"/>
        <w:jc w:val="left"/>
        <w:tblInd w:w="0" w:type="dxa"/>
        <w:tblLayout w:type="fixed"/>
        <w:tblCellMar>
          <w:top w:w="0" w:type="dxa"/>
          <w:left w:w="0" w:type="dxa"/>
          <w:bottom w:w="0" w:type="dxa"/>
          <w:right w:w="0" w:type="dxa"/>
        </w:tblCellMar>
      </w:tblPr>
      <w:tblGrid>
        <w:gridCol w:w="135"/>
        <w:gridCol w:w="230"/>
        <w:gridCol w:w="22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225" w:type="dxa"/>
            <w:tcBorders/>
            <w:vAlign w:val="center"/>
          </w:tcPr>
          <w:p>
            <w:pPr>
              <w:pStyle w:val="TableContents"/>
              <w:bidi w:val="0"/>
              <w:spacing w:before="0" w:after="283"/>
              <w:jc w:val="both"/>
              <w:rPr>
                <w:sz w:val="20"/>
              </w:rPr>
            </w:pPr>
            <w:r>
              <w:rPr>
                <w:rFonts w:ascii="Times New Roman;Times;Serif" w:hAnsi="Times New Roman;Times;Serif"/>
                <w:sz w:val="20"/>
              </w:rPr>
              <w:t>human and animal tissues;</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2095" w:type="dxa"/>
        <w:jc w:val="left"/>
        <w:tblInd w:w="0" w:type="dxa"/>
        <w:tblLayout w:type="fixed"/>
        <w:tblCellMar>
          <w:top w:w="0" w:type="dxa"/>
          <w:left w:w="0" w:type="dxa"/>
          <w:bottom w:w="0" w:type="dxa"/>
          <w:right w:w="0" w:type="dxa"/>
        </w:tblCellMar>
      </w:tblPr>
      <w:tblGrid>
        <w:gridCol w:w="135"/>
        <w:gridCol w:w="230"/>
        <w:gridCol w:w="17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1730" w:type="dxa"/>
            <w:tcBorders/>
            <w:vAlign w:val="center"/>
          </w:tcPr>
          <w:p>
            <w:pPr>
              <w:pStyle w:val="TableContents"/>
              <w:bidi w:val="0"/>
              <w:spacing w:before="0" w:after="283"/>
              <w:jc w:val="both"/>
              <w:rPr>
                <w:sz w:val="20"/>
              </w:rPr>
            </w:pPr>
            <w:r>
              <w:rPr>
                <w:rFonts w:ascii="Times New Roman;Times;Serif" w:hAnsi="Times New Roman;Times;Serif"/>
                <w:sz w:val="20"/>
              </w:rPr>
              <w:t>infectious materials;</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1600" w:type="dxa"/>
        <w:jc w:val="left"/>
        <w:tblInd w:w="0" w:type="dxa"/>
        <w:tblLayout w:type="fixed"/>
        <w:tblCellMar>
          <w:top w:w="0" w:type="dxa"/>
          <w:left w:w="0" w:type="dxa"/>
          <w:bottom w:w="0" w:type="dxa"/>
          <w:right w:w="0" w:type="dxa"/>
        </w:tblCellMar>
      </w:tblPr>
      <w:tblGrid>
        <w:gridCol w:w="135"/>
        <w:gridCol w:w="230"/>
        <w:gridCol w:w="12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1235" w:type="dxa"/>
            <w:tcBorders/>
            <w:vAlign w:val="center"/>
          </w:tcPr>
          <w:p>
            <w:pPr>
              <w:pStyle w:val="TableContents"/>
              <w:bidi w:val="0"/>
              <w:spacing w:before="0" w:after="283"/>
              <w:jc w:val="both"/>
              <w:rPr>
                <w:sz w:val="20"/>
              </w:rPr>
            </w:pPr>
            <w:r>
              <w:rPr>
                <w:rFonts w:ascii="Times New Roman;Times;Serif" w:hAnsi="Times New Roman;Times;Serif"/>
                <w:sz w:val="20"/>
              </w:rPr>
              <w:t>dressings; and</w:t>
            </w:r>
            <w:r>
              <w:rPr>
                <w:sz w:val="20"/>
              </w:rPr>
              <w:t xml:space="preserve"> </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xml:space="preserve">  </w:t>
      </w:r>
    </w:p>
    <w:tbl>
      <w:tblPr>
        <w:tblW w:w="9700" w:type="dxa"/>
        <w:jc w:val="left"/>
        <w:tblInd w:w="0" w:type="dxa"/>
        <w:tblLayout w:type="fixed"/>
        <w:tblCellMar>
          <w:top w:w="0" w:type="dxa"/>
          <w:left w:w="0" w:type="dxa"/>
          <w:bottom w:w="0" w:type="dxa"/>
          <w:right w:w="0" w:type="dxa"/>
        </w:tblCellMar>
      </w:tblPr>
      <w:tblGrid>
        <w:gridCol w:w="135"/>
        <w:gridCol w:w="230"/>
        <w:gridCol w:w="93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335" w:type="dxa"/>
            <w:tcBorders/>
            <w:vAlign w:val="center"/>
          </w:tcPr>
          <w:p>
            <w:pPr>
              <w:pStyle w:val="TableContents"/>
              <w:bidi w:val="0"/>
              <w:spacing w:before="0" w:after="283"/>
              <w:jc w:val="both"/>
              <w:rPr>
                <w:sz w:val="20"/>
              </w:rPr>
            </w:pPr>
            <w:r>
              <w:rPr>
                <w:rFonts w:ascii="Times New Roman;Times;Serif" w:hAnsi="Times New Roman;Times;Serif"/>
                <w:sz w:val="20"/>
              </w:rPr>
              <w:t>such other wastes as specified by the Director of the Environmental Protection Department (“EPD”) of Hong Kong.</w:t>
            </w:r>
            <w:r>
              <w:rPr>
                <w:sz w:val="20"/>
              </w:rPr>
              <w:t xml:space="preserve"> </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Given the research works in our R&amp;D Center may produce used or contaminated sharps such as syringes and needles as well as dressings, we are subject to WDO, WDR and the Code of Practice.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How Cash is Transferred Through Our Corporate Organization</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Up through September 16, 2026, we have transferred the noted amount to the referenced subsidiary: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tbl>
      <w:tblPr>
        <w:tblW w:w="5200" w:type="dxa"/>
        <w:jc w:val="left"/>
        <w:tblInd w:w="0" w:type="dxa"/>
        <w:tblLayout w:type="fixed"/>
        <w:tblCellMar>
          <w:top w:w="0" w:type="dxa"/>
          <w:left w:w="0" w:type="dxa"/>
          <w:bottom w:w="28" w:type="dxa"/>
          <w:right w:w="0" w:type="dxa"/>
        </w:tblCellMar>
      </w:tblPr>
      <w:tblGrid>
        <w:gridCol w:w="3365"/>
        <w:gridCol w:w="120"/>
        <w:gridCol w:w="120"/>
        <w:gridCol w:w="1460"/>
        <w:gridCol w:w="135"/>
      </w:tblGrid>
      <w:tr>
        <w:trPr/>
        <w:tc>
          <w:tcPr>
            <w:tcW w:w="3365" w:type="dxa"/>
            <w:tcBorders>
              <w:bottom w:val="single" w:sz="12" w:space="0" w:color="000000"/>
            </w:tcBorders>
            <w:vAlign w:val="center"/>
          </w:tcPr>
          <w:p>
            <w:pPr>
              <w:pStyle w:val="TableContents"/>
              <w:bidi w:val="0"/>
              <w:spacing w:before="0" w:after="283"/>
              <w:jc w:val="left"/>
              <w:rPr>
                <w:b/>
              </w:rPr>
            </w:pPr>
            <w:r>
              <w:rPr>
                <w:b/>
              </w:rPr>
              <w:t xml:space="preserve">Subsidiaries </w:t>
            </w:r>
          </w:p>
        </w:tc>
        <w:tc>
          <w:tcPr>
            <w:tcW w:w="120" w:type="dxa"/>
            <w:tcBorders/>
            <w:tcMar>
              <w:bottom w:w="0" w:type="dxa"/>
            </w:tcMar>
            <w:vAlign w:val="center"/>
          </w:tcPr>
          <w:p>
            <w:pPr>
              <w:pStyle w:val="TableContents"/>
              <w:bidi w:val="0"/>
              <w:spacing w:before="0" w:after="283"/>
              <w:jc w:val="left"/>
              <w:rPr/>
            </w:pPr>
            <w:r>
              <w:rPr/>
              <w:t xml:space="preserve">  </w:t>
            </w:r>
          </w:p>
        </w:tc>
        <w:tc>
          <w:tcPr>
            <w:tcW w:w="1580" w:type="dxa"/>
            <w:gridSpan w:val="2"/>
            <w:tcBorders>
              <w:bottom w:val="single" w:sz="12" w:space="0" w:color="000000"/>
            </w:tcBorders>
            <w:vAlign w:val="center"/>
          </w:tcPr>
          <w:p>
            <w:pPr>
              <w:pStyle w:val="TableContents"/>
              <w:bidi w:val="0"/>
              <w:spacing w:before="0" w:after="283"/>
              <w:jc w:val="center"/>
              <w:rPr>
                <w:b/>
              </w:rPr>
            </w:pPr>
            <w:r>
              <w:rPr>
                <w:b/>
              </w:rPr>
              <w:t xml:space="preserve">US$ </w:t>
            </w:r>
          </w:p>
        </w:tc>
        <w:tc>
          <w:tcPr>
            <w:tcW w:w="135" w:type="dxa"/>
            <w:tcBorders/>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Aptus Management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64,309,272.68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Aptorum Medical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1,673,592.92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Therapeutics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17,635,261.58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Acticule Life Sciences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5,218,255.31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Innovations Holding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15,087.11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Aptorum Innovations Holding Pte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442,201.61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Group LLC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4,337.75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Claves Life Sciences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331,959.92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Scipio Life Sciences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151,710.07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Signate Life Sciences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319,385.76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Pharmaceutical Dev.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7,300.00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Variable Interest Entity</w:t>
      </w:r>
      <w:r>
        <w:rPr>
          <w:rFonts w:ascii="Times New Roman;Times;Serif" w:hAnsi="Times New Roman;Times;Serif"/>
          <w:b w:val="false"/>
          <w:i w:val="false"/>
          <w:caps w:val="false"/>
          <w:smallCaps w:val="false"/>
          <w:sz w:val="20"/>
          <w:bdr w:val="single" w:sz="12" w:space="1" w:color="000000"/>
        </w:rPr>
        <w:t xml:space="preserv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We continually reassesses whether we are the primary beneficiary of a VIE throughout the entire period we are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 See “Risk Factors — Risks Related to Our Corporate Structure” and “Risk Factors — Risks Relating to Doing Business in Hong Kong”.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below. In the following paragraphs, the Company describes some of the principal risks and uncertainties that could adversely affect its business, results of operations, financial condition (including capital and liquidity), or prospects or the value of or return on an investment in the Company. These risks and uncertainties, however, are not the only ones faced by the Company. Other risks and uncertainties that are not presently known to the Company that it has failed to identify, or that it currently considers immaterial may adversely affect the Company as well. Except where otherwise noted, the risk factors address risks and uncertainties that may affect the Company as well as its subsidiaries, including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DiamiR’s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auditor have indicated in their audit opinion there is substantial doubt as to DiamiR’s ability to continue as a going concern in their audit report on its audited financial statements for the year ended May 31, 2026.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raise additional capital, our ability to implement our business model and strategy could be compromised.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capital resources and operations. To date, DiamiR’s operations have been funded entirely from the proceeds from equity financings, loans from shareholders or grants and we expect to require substantial additional capital in the near future to develop and market new products, services and technologies for the Company and our subsidiaries, as well as for funding expenses for research and development (“R&amp;D), and compensation of our executive management and employees. These projected operating expenses are based solely on our rough estimates and do not include any extraordinary items or expenditures, which may be incurred from time to time during the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we do not receive additional financing in the future, we may be unable to carry out our full business plan. We do not currently have any commitments for financing to meet our expected needs and we may not be able to obtain additional financing on terms acceptable to it, or at all. Even if we obtain financing for our near-term operations and product development, we expect that we will require additional capital beyond the near term. If we are unable to raise capital when needed, our business, financial condition and results of operations would be materially adversely affected, and we could be forced to reduce or discontinue ou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borrow money to expand our business, the likelihood that investors may lose some or all of their investment may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may incur debt for financing ours growth. Our ability to borrow funds will depend upon a number of factors, including the condition of the financial markets. If we receive debt financing, we will have priority in any liquidation over the claims of holders of our stockholders, which could increase the risk of loss of your investment. In addition, our payment obligations with respect to any indebtedness could divert funds away from our operations, marketing and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and under Delaware law could make an acquisition of the Company, which may be beneficial to its stockholders, more difficult and may prevent attempts by its stockholders to replace or remove the Company’s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Charter and Bylaws, as well as the DGCL contains provisions that could make it more difficult for a third party to acquire the Company, even if doing so might be beneficial to the Company’s stockholders. Among other things, these provisions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allow the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at any time, directors may only be removed with or without cause, and only by the affirmative vote of holders of a majority in voting power of all the then-outstanding shares of Company Common Stock entitled to vote thereon, voting together as a single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may only be called by or at the direction of the Chairman of the Company Board, the Company Board or the Chief Executive Officer or president or upon the written request by a majority of the shareholders entitled to vote;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any alteration, amendment or repeal, in whole or in part, of any provision of the Proposed Bylaws by Company’s stockholders will require the affirmative vote of the holders of at least 66&amp;frac23;% in voting power of all the then-outstanding shares of the Company Common Stock entitled to vote thereon, voting together as a single class;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requirements for nominations for elections to the Company Board and for proposing matters that can be acted upon by stockholders at stockholder meetings.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The Company has expressly elected not to be governed by Section 203 of the DGCL. At that time, such election shall be automatically withdrawn and Company will thereafter be governed by Section 203 of the DGCL. These provisions could discourage, delay or prevent a transaction involving a change in control of Company. These provisions could also discourage proxy contests and make it more difficult for Company’s stockholders to elect directors of their choosing and cause Company to take other corporate actions they desire, including actions that Company’s stockholders may deem advantageous. In addition, because the Company Board is responsible for appointing the members of Company’s management team, these provisions could in turn affect any attempt by Company’s stockholders to replace current members of Company’s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and other provisions in the Charter, Bylaws and Delaware law could make it more difficult for stockholders or potential acquirors to obtain control of the Company Board or initiate actions that are opposed by Company’s then-current board of directors and could also delay or impede a merger, tender offer or proxy contest involving Company. The existence of these provisions could negatively affect the price of Company Common Stock and limit opportunities for a stockholder to realize value in a corporate transaction. In addition, if prospective takeovers are not consummated for any reason, Company may experience negative reactions from the financial markets, including negative impacts on the price of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as the exclusive forum for certain litigation that may be initiated by Company’s stockholders and the federal district courts of the United States as the exclusive forum for litigation arising under the Securities Act, which could limit Company’s stockholders’ ability to obtain a favorable judicial forum for disputes with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current Charter,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Company’s behalf; (ii) any action asserting a claim of breach of a fiduciary duty owed by any of Company’s current or former directors, officers, employees or stockholders to Company or its stockholders; (iii) any action asserting a claim against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will also provide that, unless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Company Common Stock is deemed to have notice of and consented to the provisions of the Proposed Charter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forum selection provisions in the Proposed Charter may have the effect of discouraging lawsuits against the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Company’s forum selection provisions were to be challenged, it may incur additional costs associated with resolving such challenge. While the Company currently has no basis to expect any such challenge would be successful, if a court were to find its forum selection provisions to be inapplicable or unenforceable with respect to one or more of these specified types of actions or proceedings, the Company may incur additional costs associated with having to litigate in other jurisdictions, which could result in a diversion of the time and resources of the Company’s employees, management and board of directors, and could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Preclinical and Clinical Development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generate revenue from product sales and may never become profitable; unless we can raise more capital through additional financings, of which there can be no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obtain necessary regulatory approvals, and have our drugs products under development manufactured and successfully marketed, of which there can be no guarantee. We may not be able to generate a profit until our drug candidates become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regulatory approval and marketing authorization for one or more of our drug candidates or one or more of any future drug candidates for commercial sale, a potential product may not generate revenue at all unless we are successful in: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sustainable and scalable manufacturing process for our drug candidates and any approved products, including establishing and maintaining commercially viable supply relationships with third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launching and commercializing drug candidates following regulatory approvals and marketing authorizations, either directly or with a collaborator or distributor;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170"/>
        <w:gridCol w:w="6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market acceptance of our drug candidates as viable treatment options;</w:t>
            </w:r>
          </w:p>
        </w:tc>
      </w:tr>
    </w:tbl>
    <w:p>
      <w:pPr>
        <w:pStyle w:val="TextBody"/>
        <w:bidi w:val="0"/>
        <w:spacing w:before="0" w:after="0"/>
        <w:ind w:left="960" w:right="0" w:hanging="48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addressing any competing technological and market developments;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negotiating and maintaining favorable terms in any collaboration, licensing or other arrangement into which we may enter to commercialize drug candidates for which we have obtained required approvals and marketing authorizations; and</w:t>
            </w:r>
          </w:p>
        </w:tc>
      </w:tr>
    </w:tbl>
    <w:p>
      <w:pPr>
        <w:pStyle w:val="TextBody"/>
        <w:bidi w:val="0"/>
        <w:spacing w:before="0" w:after="0"/>
        <w:ind w:left="960" w:right="0" w:hanging="48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protecting and expanding our portfolio of IP rights, including patents, trade secrets and know-how.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our common stock, which could impair our ability to raise capital, expand our business or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 is a long, expensive and uncertain process, and we may terminate one or more of our current preclinical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Times;Serif" w:hAnsi="Times New Roman;Times;Serif"/>
          <w:b w:val="false"/>
          <w:i/>
          <w:caps w:val="false"/>
          <w:smallCaps w:val="false"/>
          <w:sz w:val="20"/>
        </w:rPr>
        <w:t>http://www.totalbiopharma.com/2012/07/04/4-key-benefits-drug-repositioning/</w:t>
      </w:r>
      <w:r>
        <w:rPr>
          <w:rFonts w:ascii="Times New Roman;Times;Serif" w:hAnsi="Times New Roman;Times;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Times;Serif" w:hAnsi="Times New Roman;Times;Serif"/>
          <w:b w:val="false"/>
          <w:i/>
          <w:caps w:val="false"/>
          <w:smallCaps w:val="false"/>
          <w:sz w:val="20"/>
        </w:rPr>
        <w:t>https://academic.oup.com/biostatistics/article/20/2/273/4817524</w:t>
      </w:r>
      <w:r>
        <w:rPr>
          <w:rFonts w:ascii="Times New Roman;Times;Serif" w:hAnsi="Times New Roman;Times;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Times;Serif" w:hAnsi="Times New Roman;Times;Serif"/>
          <w:b w:val="false"/>
          <w:i/>
          <w:caps w:val="false"/>
          <w:smallCaps w:val="false"/>
          <w:sz w:val="20"/>
        </w:rPr>
        <w:t>https://hbr.org/2014/11/the-real-cost-of-high-priced-drugs</w:t>
      </w:r>
      <w:r>
        <w:rPr>
          <w:rFonts w:ascii="Times New Roman;Times;Serif" w:hAnsi="Times New Roman;Times;Serif"/>
          <w:b w:val="false"/>
          <w:i w:val="false"/>
          <w:caps w:val="false"/>
          <w:smallCaps w:val="false"/>
          <w:sz w:val="20"/>
        </w:rPr>
        <w:t>). We may determine that certain preclinical product candidates or programs do not have sufficient potential to warrant the allocation of resources toward them. Accordingly, we may elect to terminate our programs for and, in certain 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discretion to terminate the development of any of our projects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research methodology used may not be successful in identifying potential indications and/or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drug candidates may, after further study, be shown to have harmful adverse effects or other characteristics that indicate they are unlikely to be effective drugs;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we will ever be able to develop suitable potential drug candidates through internal research programs. This could materially adversely affect our future growth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patients in our clinical trials, our clinical development activities could be delayed or otherwise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and nature of the patient population;</w:t>
            </w:r>
          </w:p>
        </w:tc>
      </w:tr>
    </w:tbl>
    <w:p>
      <w:pPr>
        <w:pStyle w:val="TextBody"/>
        <w:bidi w:val="0"/>
        <w:spacing w:before="0" w:after="0"/>
        <w:ind w:left="960" w:right="0" w:hanging="48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 eligibility criteria defined in the clinical protocol;</w:t>
            </w:r>
          </w:p>
        </w:tc>
      </w:tr>
    </w:tbl>
    <w:p>
      <w:pPr>
        <w:pStyle w:val="TextBody"/>
        <w:bidi w:val="0"/>
        <w:spacing w:before="0" w:after="0"/>
        <w:ind w:left="960" w:right="0" w:hanging="48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study population required for statistical analysis of the trial’s primary endpoints;</w:t>
            </w:r>
          </w:p>
        </w:tc>
      </w:tr>
    </w:tbl>
    <w:p>
      <w:pPr>
        <w:pStyle w:val="TextBody"/>
        <w:bidi w:val="0"/>
        <w:spacing w:before="0" w:after="0"/>
        <w:ind w:left="960" w:right="0" w:hanging="48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proximity of patients to trial sites;</w:t>
            </w:r>
          </w:p>
        </w:tc>
      </w:tr>
    </w:tbl>
    <w:p>
      <w:pPr>
        <w:pStyle w:val="TextBody"/>
        <w:bidi w:val="0"/>
        <w:spacing w:before="0" w:after="0"/>
        <w:ind w:left="960" w:right="0" w:hanging="48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 of the trial and changes to the design of the trial;</w:t>
            </w:r>
          </w:p>
        </w:tc>
      </w:tr>
    </w:tbl>
    <w:p>
      <w:pPr>
        <w:pStyle w:val="TextBody"/>
        <w:bidi w:val="0"/>
        <w:spacing w:before="0" w:after="0"/>
        <w:ind w:left="960" w:right="0" w:hanging="48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recruit clinical trial investigators with the appropriate competencies and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competing clinical trials for similar therapies or other new therapeutics exist and will reduce the number and types of patients available to us;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p>
        </w:tc>
      </w:tr>
    </w:tbl>
    <w:p>
      <w:pPr>
        <w:pStyle w:val="TextBody"/>
        <w:bidi w:val="0"/>
        <w:spacing w:before="0" w:after="0"/>
        <w:ind w:left="960" w:right="0" w:hanging="48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patient consents;</w:t>
            </w:r>
          </w:p>
        </w:tc>
      </w:tr>
    </w:tbl>
    <w:p>
      <w:pPr>
        <w:pStyle w:val="TextBody"/>
        <w:bidi w:val="0"/>
        <w:spacing w:before="0" w:after="0"/>
        <w:ind w:left="960" w:right="0" w:hanging="48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patients enrolled in clinical trials may not complete a clinical trial; and</w:t>
            </w:r>
          </w:p>
        </w:tc>
      </w:tr>
    </w:tbl>
    <w:p>
      <w:pPr>
        <w:pStyle w:val="TextBody"/>
        <w:bidi w:val="0"/>
        <w:spacing w:before="0" w:after="0"/>
        <w:ind w:left="960" w:right="0" w:hanging="48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approved therapies that are similar to our drug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clinical trials of our drug candidates fail to demonstrate safety and efficacy to the satisfaction of the FDA, NMPA, EMA, Health Canada, CMPR or other comparable regulatory authorities, or do not otherwise produce positive results, we may incur additional costs or experience delays in completing, or ultimately be unable to complete, the development and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are required to comply with current Good Clinical Practices (“cGCP”) requirements, which are regulations and guidelines enforced by the FDA, NMPA, EMA, Health Canada, CMPR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CMPR or comparable regulatory authorities may require us to perform additional clinical trials before approving our marketing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numerous unexpected events during, or as a result of, clinical trials that could delay or prevent our ability to receive regulatory approval or commercialize our drug candidates,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institutional review boards (“IRBs”) or ethics committees may not authorize us or our investigators to commence a clinical trial or conduct a clinical trial at a prospective trial site;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trials of our drug candidates may produce negative or inconclusive results, and we may decide, or regulators may require us, to conduct additional clinical trials or abandon drug development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patients required for clinical trials of our drug candidates may be larger than we anticipate, enrollment may be insufficient or slower than we anticipate or patients may drop out at a higher rate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contractors and investigators may fail to comply with regulatory requirements or meet their contractual obligations to us in a timely manner,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might have to suspend or terminate clinical trials of our drug candidates for various reasons, including a lack of clinical response or a determination that participants are being exposed to unacceptable health risks;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IRBs or ethics committees may require that we or our investigators suspend or terminate clinical research for various reasons, including non-compliance with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clinical trials of our drug candidates may be greater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or quality of our drug candidates or other materials necessary to conduct clinical trials of our drug candidates may be insufficient or inadequate;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drug candidates may cause adverse events, have undesirable side effects or other unexpected characteristics, causing us, our investigators, or regulators to suspend or terminate the trials.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pStyle w:val="TextBody"/>
        <w:bidi w:val="0"/>
        <w:spacing w:before="0" w:after="0"/>
        <w:ind w:left="960" w:right="0" w:hanging="48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delayed in obtaining regulatory approval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obtain regulatory approval at all;</w:t>
            </w:r>
          </w:p>
        </w:tc>
      </w:tr>
    </w:tbl>
    <w:p>
      <w:pPr>
        <w:pStyle w:val="TextBody"/>
        <w:bidi w:val="0"/>
        <w:spacing w:before="0" w:after="0"/>
        <w:ind w:left="960" w:right="0" w:hanging="48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approval for indications that are not as broad as intended;</w:t>
            </w:r>
          </w:p>
        </w:tc>
      </w:tr>
    </w:tbl>
    <w:p>
      <w:pPr>
        <w:pStyle w:val="TextBody"/>
        <w:bidi w:val="0"/>
        <w:spacing w:before="0" w:after="0"/>
        <w:ind w:left="960" w:right="0" w:hanging="48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drug removed from the market after obtaining regulatory approval;</w:t>
            </w:r>
          </w:p>
        </w:tc>
      </w:tr>
    </w:tbl>
    <w:p>
      <w:pPr>
        <w:pStyle w:val="TextBody"/>
        <w:bidi w:val="0"/>
        <w:spacing w:before="0" w:after="0"/>
        <w:ind w:left="9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subject to additional post-marketing testing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subject to restrictions on how a drug is distributed or used; or</w:t>
            </w:r>
          </w:p>
        </w:tc>
      </w:tr>
    </w:tbl>
    <w:p>
      <w:pPr>
        <w:pStyle w:val="TextBody"/>
        <w:bidi w:val="0"/>
        <w:spacing w:before="0" w:after="0"/>
        <w:ind w:left="960" w:right="0" w:hanging="48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unable to obtain reimbursement for use of a drug.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testing or approvals may result in increases in our drug development costs. We do not know whether any clinical trials will begin as planned, will need to be restructured, or will be completed on schedule,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we may not have sufficient funding to complete the testing and approval process. Any of these events may significantly harm our business, financial condition and prospects, lead to the denial of regulatory approval of our drug candidates or allow our competitors to bring drugs to market before we do, impairing our ability to commercialize our drugs if and when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our business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Obtaining Regulatory Approval for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our business will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candidates could fail to receive regulatory approval from any of the FDA, NMPA, EMA, Health Canada or other comparable regulatory authorities for many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regulators regarding the design or implementation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 is safe and effective or safe, pure and potent for its proposed indication;</w:t>
            </w:r>
          </w:p>
        </w:tc>
      </w:tr>
    </w:tbl>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clinical trial results to meet the level of statistical significance required for approval;</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candidate’s clinical and other benefits outweigh its safety risks;</w:t>
            </w:r>
          </w:p>
        </w:tc>
      </w:tr>
    </w:tbl>
    <w:p>
      <w:pPr>
        <w:pStyle w:val="TextBody"/>
        <w:bidi w:val="0"/>
        <w:spacing w:before="0" w:after="0"/>
        <w:ind w:left="960" w:right="0" w:hanging="48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regulators regarding our interpretation of data from studies in animals or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insufficiency of data collected from clinical trials of our drug candidates to support the submission and filing of a New Drug Application (“NDA”), or other submission or to obtain marketing approval;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NMPA, EMA, Health Canada or a comparable regulatory authority’s finding of deficiencies related to the manufacturing processes or facilities of third-party manufacturers with whom we contract for clinical and commercial supplies; and</w:t>
            </w:r>
          </w:p>
        </w:tc>
      </w:tr>
    </w:tbl>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approval policies or regulations that render our preclinical studies and clinical data insufficient for approval.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our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our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our drug candidates, require patient or physician education, or impose other burdensome implementation requirements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approval may be substantially delayed or may not be obtained for one or all of our drug candidates if regulatory authorities require additional time or studies to assess the safety or efficacy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drug candidates that have gained approval for sale by the FDA, NMPA or EMA, Health Canada or other regulatory authorities in any other country, and we cannot guarantee that we will ever have marketable drugs. Despite SACT-1 having been granted orphan drug status, this is not an approval for sale by the FDA. Our business is substantially dependent on our ability to complete the development of, obtain marketing approval for and successfully commercialize drug candidates in a timely manner. We cannot commercialize drug candidates without first obtaining marketing approval from the FDA, NMPA, EMA, Health Canada and comparable regulatory authorities. In the U.S., we hope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we are permitted to commence such clinical trials, they may not be successful and regulators may not agree with our conclusions regarding the data generated by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complete development of our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our drug candidates, we may not have or be able to obtain adequate funding to complete the necessary steps for approval for our drug candidates or any future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in animals and clinical trials in humans to demonstrate the safety and efficacy of our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obtain sufficient funds required to conduct or continue a trial, including lack of funding due to unforeseen costs or other business decisions;</w:t>
            </w:r>
          </w:p>
        </w:tc>
      </w:tr>
    </w:tbl>
    <w:p>
      <w:pPr>
        <w:pStyle w:val="TextBody"/>
        <w:bidi w:val="0"/>
        <w:spacing w:before="0" w:after="0"/>
        <w:ind w:left="960" w:right="0" w:hanging="48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reports for additional analysts, reports, data, preclinical studies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reach agreement with, or inability to comply with conditions imposed by the FDA, NMPA, EMA, Health Canada or other regulators regarding the scope or design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questions regarding interpretations of data and results and the emergence of new information regarding our drug candidates or other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or failure in obtaining authorization to commence a clinical trial or inability to comply with conditions imposed by a regulatory authority regarding the scope or design of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clinical trial sites from our clinical trials as a result of changing standards of care or the ineligibility of a site to participate in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unfavorable or inconclusive results of clinical trials and supportive non-clinical studies, including unfavorable results regarding effectiveness of drug candidates during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contact with patients during or after treatment, resulting in incomplete data;</w:t>
            </w:r>
          </w:p>
        </w:tc>
      </w:tr>
    </w:tbl>
    <w:p>
      <w:pPr>
        <w:pStyle w:val="TextBody"/>
        <w:bidi w:val="0"/>
        <w:spacing w:before="0" w:after="0"/>
        <w:ind w:left="960" w:right="0" w:hanging="48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obtain approval from IRBs or ethics committees to conduct clinical trials at their respective sites;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enroll and retain a sufficient number of patients who meet the inclusion and exclusion criteria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conduct a clinical trial in accordance with regulatory requirements or our clinical protocols;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sites and investigators deviating from trial protocol, failing to conduct the trial in accordance with regulatory requirements, withdrawing from or dropping out of a trial, or becoming ineligible to participate in a trial;</w:t>
            </w:r>
          </w:p>
        </w:tc>
      </w:tr>
    </w:tbl>
    <w:p>
      <w:pPr>
        <w:pStyle w:val="TextBody"/>
        <w:bidi w:val="0"/>
        <w:spacing w:before="0" w:after="0"/>
        <w:ind w:left="960" w:right="0" w:hanging="48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trial managers to satisfy their contractual duties or meet expected deadlines;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manufacturing issues, including problems with manufacturing or timely obtaining from third parties sufficient quantities of a drug candidate for use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ambiguous or negative interim results, or results that are inconsistent with earlier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feedback from the FDA, NMPA, EMA, Health Canada, an IRB, data safety monitoring boards, or comparable entities, or results from earlier stage or concurrent studies in animals and clinical trials, regarding our drug candidates, including which might require modification of a trial protocol;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960" w:right="0" w:hanging="48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unacceptable risk-benefit profile or unforeseen safety issues or adverse side effects;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completion of, or the termination of, a clinical trial, of any of our drug candidates, the commercial prospects of our drug candidates will be harmed, and our ability to generate product sales revenues from any of those drug candidates will be delayed. In addition, any delay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studies with respect to any of our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our drugs, if and when approved. If any of this occurs, our business will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Undesirable adverse events caused by our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our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suspending the marketing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having regulatory authorities withdraw approvals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adding warnings on the label;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REMS for the drug or, if a REMS is already in place, incorporating additional requirements under the REMS, or to develop a similar strategy as required by a comparable regulatory authority;</w:t>
            </w:r>
          </w:p>
        </w:tc>
      </w:tr>
    </w:tbl>
    <w:p>
      <w:pPr>
        <w:pStyle w:val="TextBody"/>
        <w:bidi w:val="0"/>
        <w:spacing w:before="0" w:after="0"/>
        <w:ind w:left="960" w:right="0" w:hanging="48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post-market studies;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sued and held liable for harm caused to subjects or patients; and</w:t>
            </w:r>
          </w:p>
        </w:tc>
      </w:tr>
    </w:tbl>
    <w:p>
      <w:pPr>
        <w:pStyle w:val="TextBody"/>
        <w:bidi w:val="0"/>
        <w:spacing w:before="0" w:after="0"/>
        <w:ind w:left="960" w:right="0" w:hanging="48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damage to our reputation.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the particular drug candidate, if approved, and could significantly harm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for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receive for our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our drug candidates (such as REMS of the FDA and risk-management plan of the 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our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impose consent decrees or withdraw approval if compliance with regulatory requirements and standards is not maintained or if problems occur after the drug reaches the market. Later discovery of previously unknown problems with our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marketing or manufacturing of our drug candidates, withdrawal of the product from the market, or voluntary or mandatory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untitled or warning letters, or holds on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by the FDA to approve pending applications or supplements to approved applications filed by us or suspension or revocation of license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seizure or detention, or refusal to permit the import or export of our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our business operations and our reputation could be damaged.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an entity does not address observations found in an FDA Form 483 to FDA’s satisfaction, the FDA could take enforcement action, including any of the following sanctions:</w:t>
      </w:r>
    </w:p>
    <w:p>
      <w:pPr>
        <w:pStyle w:val="TextBody"/>
        <w:bidi w:val="0"/>
        <w:spacing w:before="0" w:after="0"/>
        <w:ind w:left="960" w:right="0" w:hanging="48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untitled letters, warning letters, fines, injunctions, consent decrees and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notifications or recall, detention or seizure of our product;</w:t>
            </w:r>
          </w:p>
        </w:tc>
      </w:tr>
    </w:tbl>
    <w:p>
      <w:pPr>
        <w:pStyle w:val="TextBody"/>
        <w:bidi w:val="0"/>
        <w:spacing w:before="0" w:after="0"/>
        <w:ind w:left="960" w:right="0" w:hanging="48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restrictions or partial suspension or total shutdown of production;</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refusing or delaying our requests for pre-market approval of new products;</w:t>
            </w:r>
          </w:p>
        </w:tc>
      </w:tr>
    </w:tbl>
    <w:p>
      <w:pPr>
        <w:pStyle w:val="TextBody"/>
        <w:bidi w:val="0"/>
        <w:spacing w:before="0" w:after="0"/>
        <w:ind w:left="960" w:right="0" w:hanging="48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withdrawing pre-market approvals that have already been granted;</w:t>
            </w:r>
          </w:p>
        </w:tc>
      </w:tr>
    </w:tbl>
    <w:p>
      <w:pPr>
        <w:pStyle w:val="TextBody"/>
        <w:bidi w:val="0"/>
        <w:spacing w:before="0" w:after="0"/>
        <w:ind w:left="960" w:right="0" w:hanging="48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to grant export approval for our product; or</w:t>
            </w:r>
          </w:p>
        </w:tc>
      </w:tr>
    </w:tbl>
    <w:p>
      <w:pPr>
        <w:pStyle w:val="TextBody"/>
        <w:bidi w:val="0"/>
        <w:spacing w:before="0" w:after="0"/>
        <w:ind w:left="960" w:right="0" w:hanging="48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prosecution.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actions could have a material adverse effect on our reputation,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indications for which our drug candidates are approved;</w:t>
            </w:r>
          </w:p>
        </w:tc>
      </w:tr>
    </w:tbl>
    <w:p>
      <w:pPr>
        <w:pStyle w:val="TextBody"/>
        <w:bidi w:val="0"/>
        <w:spacing w:before="0" w:after="0"/>
        <w:ind w:left="960" w:right="0" w:hanging="48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physicians, hospitals, and patients considering our drug candidates as a safe and effective treatment;</w:t>
            </w:r>
          </w:p>
        </w:tc>
      </w:tr>
    </w:tbl>
    <w:p>
      <w:pPr>
        <w:pStyle w:val="TextBody"/>
        <w:bidi w:val="0"/>
        <w:spacing w:before="0" w:after="0"/>
        <w:ind w:left="960" w:right="0" w:hanging="48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and perceived advantages of our drug candidates over alternative treatments;</w:t>
            </w:r>
          </w:p>
        </w:tc>
      </w:tr>
    </w:tbl>
    <w:p>
      <w:pPr>
        <w:pStyle w:val="TextBody"/>
        <w:bidi w:val="0"/>
        <w:spacing w:before="0" w:after="0"/>
        <w:ind w:left="960" w:right="0" w:hanging="48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prevalence and severity of any side effects;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labeling or product insert requirements of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or warnings contained in the labeling approved by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of market introduction of our drug candidates as well as competitive drugs;</w:t>
            </w:r>
          </w:p>
        </w:tc>
      </w:tr>
    </w:tbl>
    <w:p>
      <w:pPr>
        <w:pStyle w:val="TextBody"/>
        <w:bidi w:val="0"/>
        <w:spacing w:before="0" w:after="0"/>
        <w:ind w:left="960" w:right="0" w:hanging="48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treatment in relation to alternative treatments and their relative benefits;</w:t>
            </w:r>
          </w:p>
        </w:tc>
      </w:tr>
    </w:tbl>
    <w:p>
      <w:pPr>
        <w:pStyle w:val="TextBody"/>
        <w:bidi w:val="0"/>
        <w:spacing w:before="0" w:after="0"/>
        <w:ind w:left="960" w:right="0" w:hanging="48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adequate coverage, reimbursement and pricing by third-party payors and government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experience and financial and other limitations on our ability to create and sustain effective sales and marketing efforts or ineffectiveness of our sales and marketing partners;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 enrollment in, and completion of, studies in animals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parties’ ability in conducting our clinical trials safely, efficiently and according to the agreed protocol;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of regulatory approvals from the FDA, NMPA, EMA, Health Canada and other comparable regulatory authorities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commercial manufacturing capabilities by making arrangements with third-party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reliance on other parties to conduct our clinical trials swiftly and effectively;</w:t>
            </w:r>
          </w:p>
        </w:tc>
      </w:tr>
    </w:tbl>
    <w:p>
      <w:pPr>
        <w:pStyle w:val="TextBody"/>
        <w:bidi w:val="0"/>
        <w:spacing w:before="0" w:after="0"/>
        <w:ind w:left="960" w:right="0" w:hanging="48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 of commercial sales of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maintaining patents, trade secrets and other IP protection and regulatory exclusivity, as well as protecting our rights in our own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ensuring that we do not infringe, misappropriate or otherwise violate patents, trade secrets or other IP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acceptance of our drug candidates by doctors and patients;</w:t>
            </w:r>
          </w:p>
        </w:tc>
      </w:tr>
    </w:tbl>
    <w:p>
      <w:pPr>
        <w:pStyle w:val="TextBody"/>
        <w:bidi w:val="0"/>
        <w:spacing w:before="0" w:after="0"/>
        <w:ind w:left="960" w:right="0" w:hanging="48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reimbursement from third-party payors for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compete with other drug candidates and drugs; and</w:t>
            </w:r>
          </w:p>
        </w:tc>
      </w:tr>
    </w:tbl>
    <w:p>
      <w:pPr>
        <w:pStyle w:val="TextBody"/>
        <w:bidi w:val="0"/>
        <w:spacing w:before="0" w:after="0"/>
        <w:ind w:left="960" w:right="0" w:hanging="48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maintenance of an acceptable safety profile for our drug candidates following regulatory approval, if and when received.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patents will be issued or granted with respect to patent applications that are currently pending, or that issued or granted patents will not later be found to be invalid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nullification or derivation proceedings, in court or before patent offices, or similar proceedings challenging the validity, enforceability or scope of such patents, which may result in the patent claims being narrowed or invalidated. Successful defense of its patents can constitute a material factor in a company’s expenses. According to an article published by BlueIron (</w:t>
      </w:r>
      <w:r>
        <w:rPr>
          <w:rFonts w:ascii="Times New Roman;Times;Serif" w:hAnsi="Times New Roman;Times;Serif"/>
          <w:b w:val="false"/>
          <w:i/>
          <w:caps w:val="false"/>
          <w:smallCaps w:val="false"/>
          <w:sz w:val="20"/>
        </w:rPr>
        <w:t>https://finance.yahoo.com/news/current-patent-litigation-costs-between-120200165.html</w:t>
      </w:r>
      <w:r>
        <w:rPr>
          <w:rFonts w:ascii="Times New Roman;Times;Serif" w:hAnsi="Times New Roman;Times;Serif"/>
          <w:b w:val="false"/>
          <w:i w:val="false"/>
          <w:caps w:val="false"/>
          <w:smallCaps w:val="false"/>
          <w:sz w:val="20"/>
        </w:rPr>
        <w:t>), depending on the value at stake, the American Intellectual Property Law Association’s “2019 Report of the Economic Survey” reported the average costs of a patent litigation are between $2.3 million to $4.0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and enforce our IP rights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of our patents and other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prospectus. Any of these events could require us to divert substantial financial and management resources that we would otherwise be able to devote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patents may not be sufficient to effectively protect our drug and diagnostics technology candidates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patent law in the United States could diminish the value of patents in general, thereby impairing our ability to protect our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Times;Serif" w:hAnsi="Times New Roman;Times;Serif"/>
          <w:b w:val="false"/>
          <w:i/>
          <w:caps w:val="false"/>
          <w:smallCaps w:val="false"/>
          <w:sz w:val="20"/>
        </w:rPr>
        <w:t>Assoc. for Molecular Pathology v. Myriad Genetics, Inc.</w:t>
      </w:r>
      <w:r>
        <w:rPr>
          <w:rFonts w:ascii="Times New Roman;Times;Serif" w:hAnsi="Times New Roman;Times;Serif"/>
          <w:b w:val="false"/>
          <w:i w:val="false"/>
          <w:caps w:val="false"/>
          <w:smallCaps w:val="false"/>
          <w:sz w:val="20"/>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Times;Serif" w:hAnsi="Times New Roman;Times;Serif"/>
          <w:b w:val="false"/>
          <w:i/>
          <w:caps w:val="false"/>
          <w:smallCaps w:val="false"/>
          <w:sz w:val="20"/>
        </w:rPr>
        <w:t xml:space="preserve">inter </w:t>
      </w:r>
      <w:r>
        <w:rPr>
          <w:rFonts w:ascii="Times New Roman;Times;Serif" w:hAnsi="Times New Roman;Times;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employees have wrongfully used or disclosed alleged trade secrets of their former employers.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disputes may arise regarding intellectual property subject to a licensing agreement, including:</w:t>
      </w:r>
    </w:p>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rights granted under the license agreement and other interpretation-related issues;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our technology and processes infringe on intellectual property of the licensor that is not subject to the licensing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sublicensing of patent and other rights under our collaborative development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diligence obligations under the license agreement and what activities satisfy those diligence obligations;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inventorship and ownership of inventions and know-how resulting from the joint creation or use of intellectual property by our licensors and us and our partners; and</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priority of invention of patented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complete control of the preparation, filing and prosecution of patent applications, or to maintain patents, licensed by us from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Unrelated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expect to engage contract manufacturers, the Company will be exposed to the following risks: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might be unable to reproduce the quantity and quality of the drugs we need to meet our clinical and commercial needs within the time frames when we require those drugs;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depending on the terms of our agreement with a manufacturer, we may not own, or may have to share, the IP rights to any improvements made by the manufacturer in the manufacturing process for our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may have unacceptable or inconsistent product quality success rates and yields.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of changes in the manufacturing process of our drug candidates could cause delays resulting from the need for additional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Industry, Business and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comply with laws regulating the protection of the environment and health and human safety,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our Chief Executive Officer, our scientific and clinical advisors, and other key executives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Our common stock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increase the size and capabilities of our organization, and we may experience difficulties in managing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pStyle w:val="TextBody"/>
        <w:bidi w:val="0"/>
        <w:spacing w:before="0" w:after="0"/>
        <w:ind w:left="960" w:right="0" w:hanging="48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recruiting, integrating, maintaining and motivating additional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tc>
      </w:tr>
    </w:tbl>
    <w:p>
      <w:pPr>
        <w:pStyle w:val="TextBody"/>
        <w:bidi w:val="0"/>
        <w:spacing w:before="0" w:after="0"/>
        <w:ind w:left="960" w:right="0" w:hanging="48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our operational, financial and management controls, reporting systems and procedures.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even if we enter into a collaboration involving any of our drug and diagnostics technology candidates, the arrangement will be subject to numerous risks, which may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collaborators will likely have significant discretion in determining the efforts and resources that they will apply to a collaboration;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could independently develop, or develop with unrelated parties, drugs that compete directly or indirectly with our drugs 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with marketing and distribution rights to one or more drugs may not commit sufficient resources to their marketing and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may be terminated and, if terminated, may result the Company needing additional capital to pursue further development or commercialization of the applicable drug and diagnostics technology candidates;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own or co-own IP covering our drugs that results from our collaborating with them, and in such cases, we would not have the exclusive right to commercialize such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may result in increased operating expenses or the assumption of indebtedness or contingent liabilities;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arrangement may result in the loss of key personnel and uncertainties in our ability to maintain key business relationships.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Our common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actions to remediate the abovementioned material weakness: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trainings to staff regarding to the preparation of financial statements in compliance with generally accepted accounting principles in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to a new and well-established accounting system to enhance effectiveness and financial and system control;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clear roles and responsibilities for accounting and financial reporting staff to address finance and accounting issues; and</w:t>
            </w:r>
          </w:p>
        </w:tc>
      </w:tr>
    </w:tbl>
    <w:p>
      <w:pPr>
        <w:pStyle w:val="TextBody"/>
        <w:bidi w:val="0"/>
        <w:spacing w:before="0" w:after="0"/>
        <w:ind w:left="960" w:right="0" w:hanging="48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to monitor the improvement on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concluded that our internal controls over financial reporting were not effective as of December 31, 2025. Investors may lose confidence in our operating results, the price of the Our common stock could decline and we may be subject to litigation or regulatory enforcement actions. In addition, if we are unable to meet the requirements of Section 404 of the Sarbanes-Oxley Act, Our common stock may not be able to remain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market our products, if approved, globally; if we do, we will be subject to the risk of doing business internationally.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or impositions of, legislative or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tc>
      </w:tr>
    </w:tbl>
    <w:p>
      <w:pPr>
        <w:pStyle w:val="TextBody"/>
        <w:bidi w:val="0"/>
        <w:spacing w:before="0" w:after="0"/>
        <w:ind w:left="960" w:right="0" w:hanging="48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of economic weakness, including inflation or political instability;</w:t>
            </w:r>
          </w:p>
        </w:tc>
      </w:tr>
    </w:tbl>
    <w:p>
      <w:pPr>
        <w:pStyle w:val="TextBody"/>
        <w:bidi w:val="0"/>
        <w:spacing w:before="0" w:after="0"/>
        <w:ind w:left="960" w:right="0" w:hanging="48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applicable non-U.S. tax structures and potentially adverse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differences in protection of our IP rights including patent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burden of complying with a variety of foreign laws including difficulties in effective enforcement of contractual provisions;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resulting from difficulty in obtaining export licenses, tariffs and other barriers and restrictions, potentially longer payment cycles, greater difficulty in accounts receivable collection and potentially adverse tax treatment; and</w:t>
            </w:r>
          </w:p>
        </w:tc>
      </w:tr>
    </w:tbl>
    <w:p>
      <w:pPr>
        <w:pStyle w:val="TextBody"/>
        <w:bidi w:val="0"/>
        <w:spacing w:before="0" w:after="0"/>
        <w:ind w:left="960" w:right="0" w:hanging="48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shortages resulting from any events affecting raw material supply or manufacturing capabilities abroad.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operating expenses and cash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assumption of additional indebtedness or contingent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our equity securities;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assimilation of operations, IP and products of an acquired company, including difficulties associated with integrating new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diversion of our management’s attention from our existing product programs and initiatives in pursuing such a strategic merger or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retention of key employees, the loss of key personnel, and uncertainties in our ability to maintain key business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and uncertainties associated with the other party to such a transaction, including the prospects of that party and their existing drugs or drug and diagnostics technology candidates and regulatory approvals;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our drugs;</w:t>
            </w:r>
          </w:p>
        </w:tc>
      </w:tr>
    </w:tbl>
    <w:p>
      <w:pPr>
        <w:pStyle w:val="TextBody"/>
        <w:bidi w:val="0"/>
        <w:spacing w:before="0" w:after="0"/>
        <w:ind w:left="960" w:right="0" w:hanging="48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injury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clinical trial participants and inability to continue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initiation of investigations by regulators;</w:t>
            </w:r>
          </w:p>
        </w:tc>
      </w:tr>
    </w:tbl>
    <w:p>
      <w:pPr>
        <w:pStyle w:val="TextBody"/>
        <w:bidi w:val="0"/>
        <w:spacing w:before="0" w:after="0"/>
        <w:ind w:left="960" w:right="0" w:hanging="48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defend the related litigation;</w:t>
            </w:r>
          </w:p>
        </w:tc>
      </w:tr>
    </w:tbl>
    <w:p>
      <w:pPr>
        <w:pStyle w:val="TextBody"/>
        <w:bidi w:val="0"/>
        <w:spacing w:before="0" w:after="0"/>
        <w:ind w:left="960" w:right="0" w:hanging="48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before="0" w:after="0"/>
        <w:ind w:left="960" w:right="0" w:hanging="48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recalls, withdrawals or labeling, marketing or promotional restrictions;</w:t>
            </w:r>
          </w:p>
        </w:tc>
      </w:tr>
    </w:tbl>
    <w:p>
      <w:pPr>
        <w:pStyle w:val="TextBody"/>
        <w:bidi w:val="0"/>
        <w:spacing w:before="0" w:after="0"/>
        <w:ind w:left="960" w:right="0" w:hanging="48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revenue;</w:t>
            </w:r>
          </w:p>
        </w:tc>
      </w:tr>
    </w:tbl>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exhaustion of any available insurance and our capital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commercialize any drug candidate; and</w:t>
            </w:r>
          </w:p>
        </w:tc>
      </w:tr>
    </w:tbl>
    <w:p>
      <w:pPr>
        <w:pStyle w:val="TextBody"/>
        <w:bidi w:val="0"/>
        <w:spacing w:before="0" w:after="0"/>
        <w:ind w:left="960" w:right="0" w:hanging="48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price of Our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be sued if the products that we commercialize, market or sell cause or are perceived to cause injury or are found to be otherwise unsuitable, and may result in:</w:t>
      </w:r>
    </w:p>
    <w:p>
      <w:pPr>
        <w:pStyle w:val="TextBody"/>
        <w:bidi w:val="0"/>
        <w:spacing w:before="0" w:after="0"/>
        <w:ind w:left="960" w:right="0" w:hanging="48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those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damage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incurred related to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opportunities to enter into future commercial partnership; and</w:t>
            </w:r>
          </w:p>
        </w:tc>
      </w:tr>
    </w:tbl>
    <w:p>
      <w:pPr>
        <w:pStyle w:val="TextBody"/>
        <w:bidi w:val="0"/>
        <w:spacing w:before="0" w:after="0"/>
        <w:ind w:left="960" w:right="0" w:hanging="48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price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us against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result in foreign currency exchange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investments are subject to risks that could result in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associated with our computer hardware, network security and data storage.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seriously harm our future revenue and financial condition and increase our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various risks related to the regulatory environment of the pharmaceutical industry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our common stock could be issued shortly after our filing of the second consecutive annual report on Form 10-K for which we have retained a PCAOB Identified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are subject to a trading prohibition under the HFCA Act, the price of our common stock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our common stock when you wish to do so. Furthermore, if we are able to maintain a listing of our common stock on a non-U.S. exchange, investors owning our common stock may have to take additional steps to engage in transactions on that exchange, including establishing non-U.S. brokerage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One of our directors controls a majority of our voting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directors, Dr. Sheinerman, has voting rights with respect to an aggregate of 1,515,293 shares of Common Stock, representing approximately 51.6% of the voting power of our outstanding common stock as of the date hereof. As a result, Dr. Sheinerman has the ability to control the outcome of matters submitted to our shareholders for approval, including the election of directors and any merger, consolidation, or sale of all or substantially all of our assets. As a board member, Dr. Sheinerman owes a fiduciary duty to our shareholders and must act in good faith in a manner she reasonably believes to be in the best interests of our shareholders. As a shareholder, even a controlling shareholder, Dr. Sheinerman is entitled to vote her shares, and shares over which she has voting control as a result of voting agreements, in her own interests, which may not always be in the interests of our shareholders generally. However, Dr. Sheinerman is a party to that certain Stockholders Agreement dated as of July 20, 2026, pursuant to which she has agreed to vote in favor of certain corporate actions for a certain period of time, all as detailed in the Stockholders Agreement, a copy of which is attached as an exhibit to the Current Report on Form 8-K filed on July 20, 2026,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As a “controlled company” under the rules of the </w:t>
      </w:r>
      <w:r>
        <w:rPr>
          <w:rFonts w:ascii="Times New Roman;Times;Serif" w:hAnsi="Times New Roman;Times;Serif"/>
          <w:b/>
          <w:i w:val="false"/>
          <w:caps w:val="false"/>
          <w:smallCaps w:val="false"/>
          <w:sz w:val="20"/>
        </w:rPr>
        <w:t xml:space="preserve">Nasdaq </w:t>
      </w:r>
      <w:r>
        <w:rPr>
          <w:rFonts w:ascii="Times New Roman;Times;Serif" w:hAnsi="Times New Roman;Times;Serif"/>
          <w:b/>
          <w:i/>
          <w:caps w:val="false"/>
          <w:smallCaps w:val="false"/>
          <w:sz w:val="20"/>
        </w:rPr>
        <w:t>Capital Market, we may choose to exempt our company from certain corporate governance requirements that could have an adverse effect on our public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directors and officers beneficially own a majority of the voting power of our outstanding Common Stock.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common stock to look less attractive to certain investors or otherwise harm our trading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were transferred to the Nasdaq Capital Market at the opening of business on August 10, 2023, and the trading activities of Aptorum Class A ordinary shares was not affected. The transfer became effective on August 10, 2023, thereby closing the prior deficiencies on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eligible for future sale may adversely affect the market price of our common stock if the shares are successfully listed on the Nasdaq Capital Market or other stock markets, as the future sale of a substantial amount of outstanding common stock in the public marketplace could reduce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decline as a result of sales of substantial amounts of our common stock in the public market, or the perception that these sales could occur. In addition, these factors could make it more difficult for us to raise funds through future offerings of our common stock. An aggregate of 2,938,625 shares of common stock are outstanding as of the date hereof and all of them are freely transferable without restriction or further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or perceived sale of a substantial number of our common stock may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shareholders sell substantial amounts of our common stock in the public market, the market price of our common stock could fall. Moreover, the perceived risk of this potential dilution could cause shareholders to attempt to sell their shares and investors to short our common stock. These sales also may make it more difficult for us to sell equity or equity-related securities in the future at a time and price that we deem reasonable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our common stock as the result of preferential dividend rights, conversion rights, redemption rights and liquidation provisions granted to the stockholders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not paid dividends in the past and do not expect to pay dividends in the future, and any return on investment may be limited to the value of our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the General Corporation Law of the State of Delaware, dividends may be declared and paid only out of surplus (the excess of net assets over capital) or, in the absence of surplus, out of net profits for the fiscal year in which the dividend is declared and/or the preceding fiscal year. A dividend may not be paid if, after giving it effect, the Company would be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shareholders, restrict our operations or require us to relinquish rights to our technology or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our common stock.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our common stock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expressed substantial doubt about our ability to continue as a going concern. We may be unable to obtain additional capital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 active, liquid and orderly trading market for our common stock and our stock price may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liquid and orderly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could affect our share price:</w:t>
      </w:r>
    </w:p>
    <w:p>
      <w:pPr>
        <w:pStyle w:val="TextBody"/>
        <w:bidi w:val="0"/>
        <w:spacing w:before="0" w:after="0"/>
        <w:ind w:left="960" w:right="0" w:hanging="48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and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quarterly variations in the rate of growth of our financial indicators, such as net income per share, net income and revenues;</w:t>
            </w:r>
          </w:p>
        </w:tc>
      </w:tr>
    </w:tbl>
    <w:p>
      <w:pPr>
        <w:pStyle w:val="TextBody"/>
        <w:bidi w:val="0"/>
        <w:spacing w:before="0" w:after="0"/>
        <w:ind w:left="960" w:right="0" w:hanging="48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reaction to our press releases, our other public announcements and our filings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actions by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revenue or earnings estimates, or changes in recommendations or withdrawal of research coverage, by equity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speculation in the press or investment community;</w:t>
            </w:r>
          </w:p>
        </w:tc>
      </w:tr>
    </w:tbl>
    <w:p>
      <w:pPr>
        <w:pStyle w:val="TextBody"/>
        <w:bidi w:val="0"/>
        <w:spacing w:before="0" w:after="0"/>
        <w:ind w:left="960" w:right="0" w:hanging="48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failure of research analysts to cover our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our common stock by us or other shareholders, or the perception that such sales may occur;</w:t>
            </w:r>
          </w:p>
        </w:tc>
      </w:tr>
    </w:tbl>
    <w:p>
      <w:pPr>
        <w:pStyle w:val="TextBody"/>
        <w:bidi w:val="0"/>
        <w:spacing w:before="0" w:after="0"/>
        <w:ind w:left="960" w:right="0" w:hanging="48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principles, policies, guidance, interpretations or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management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by our shareholders;</w:t>
            </w:r>
          </w:p>
        </w:tc>
      </w:tr>
    </w:tbl>
    <w:p>
      <w:pPr>
        <w:pStyle w:val="TextBody"/>
        <w:bidi w:val="0"/>
        <w:spacing w:before="0" w:after="0"/>
        <w:ind w:left="960" w:right="0" w:hanging="48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domestic and international economic, legal and regulatory factors unrelated to our performance; and</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realization of any risks describes under this “Risk Factors” section.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prospectus, we maintain a significant portion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our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the State of Delaware,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prospectus, we and our subsidiaries have not received any notice of identifying us as critical information infrastructure from any relevant PRC governmental authorities; and (vi) as of the date of this prospectus, none of us or our subsidiaries have been informed by any PRC governmental authority of any requirement for a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The Company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assessment conducted by the management, we are not subject to the Trial Measures, because we are incorporated in the State of Delaware and our subsidiaries are incorporated in the State of Delaware,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prospectus, we and our subsidiaries have not collected, stored, or managed any personal information in mainland China. Therefore, we believe that the Measures is not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Common Stock to investors and cause the value of our Common Stock to significantly decline or be worthless, it could also result in a material change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a significant portion of our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apply additional and more stringent criteria for our continued listing because our insiders hold a large portion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subsidiaries’ business, our financial condition and results of operations, and/or the value of our common stock or our ability to offer or continue to offer securities to investors may be materially and adversely affected by existing or future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was in, and members of management and our board continue to maintain an office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we hold a majority of Libra’s outstanding Class A ordinary shares and therefore will absorb/receive portions of its expected losses or residual returns, it was determined that we maintains a variable interest in Libra; however, as stated elsewhere in this prospectus statement, we are not the primary beneficiary of Libra. Our principal executive offices are located in Princeton, New Jersey in the United States, although our Chief Executive Officer and several directors maintain an office in Hong Kong, a special administrative region of China. The PRC government influences and has discretion over the manner in which we conduct our business activities outside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our common stock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our common stock,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National Security in the Hong Kong Special Administrative Region (the “Hong Kong National Security Law”) could impact our Hong Kong holding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our common stock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our common stock.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our Common Stock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our common stock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our common stock, cause significant disruption to our business operations, severely damage our reputation, materially and adversely affect our financial condition and results of operations, and cause the common stock to significantly decline in value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our ability to accept foreign investments and the listing of our common stock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our common stock may also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in Hong Kong are subject to risks associated with the broader PRC that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risks associated with our operations in Hong Kong,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and Economic Instability: Ongoing tensions between the PRC and other countries, particularly the U.S., may affect trade policies, tariffs, and overall market conditions, which could disrupt our supply chain or future business in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Kong’s Evolving Legal Environment: The integration of certain aspects of Hong Kong’s governance with the PRC’s legal framework has created uncertainties regarding autonomy, regulatory consistency, and legal protections.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December 31, 2025, we have transferred the noted amount to the referenced subsidiary:</w:t>
      </w:r>
    </w:p>
    <w:p>
      <w:pPr>
        <w:pStyle w:val="TextBody"/>
        <w:bidi w:val="0"/>
        <w:spacing w:before="0" w:after="0"/>
        <w:ind w:left="48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62,719,786.14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Medical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1,624,166.03</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15,369,903.99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4,972,079.05</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Claves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Signate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related to our operations in Hong Kong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shareholders and/or regulators to conduct investigations or collect evidence within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ceased to qualify as an “emerging growth company” and will incur increased costs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DiamiR’s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DiamiR is a wholly-owned subsidiary of the Company. The following risk factors relate specifically to DiamiR's business and operations, which may materially affect the Company's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DiamiR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DiamiR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DiamiR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DiamiR may develop. A lack of acceptance of DiamiR’s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intends to market some of its tests as LDTs, and future changes in FDA enforcement discretion for LDTs could subject its operations to much more significant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a limited operating history, which makes it difficult to predict future prospects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relationships with key customers and strategic partners that will be necessary to optimize the market value of its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successfully identify and respond to emerging trends in DiamiR’s market areas;</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raise sufficient capital in the public and/or private markets; or</w:t>
            </w:r>
          </w:p>
        </w:tc>
      </w:tr>
    </w:tbl>
    <w:p>
      <w:pPr>
        <w:pStyle w:val="TextBody"/>
        <w:bidi w:val="0"/>
        <w:spacing w:before="0" w:after="0"/>
        <w:ind w:left="960" w:right="0" w:hanging="48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respond effectively to competitive pressures.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uncertainty in global economic conditions may negatively impact DiamiR’s business, operating results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faces significant, evolving competition which, if it fails to properly address, could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engage in future acquisitions, which may be expensive and time consuming and from which it may not realize anticipated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dilutive issuances of its securities, the incurrence of debt and contingent liabilities and amortization expenses related to intangible assets with indefinite useful lives, which could adversely affect its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using cash as acquisition currency may adversely affect interest or investment income, which may in turn adversely affect its earnings and/or earnings per share;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fully or effectively integrating any acquired technologies or software products into its current products and technologies, which would prevent DiamiR from realizing the intended benefits of the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predicting and responding to issues related to product transition such as development, distribution and client support;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adverse effect of such acquisitions on existing relationships with third party partners and suppliers of technologies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staff or clients of the acquired company might not accept new ownership and may transition to different technologies or attempt to renegotiate contract terms or relationships, including maintenance or support agreements;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entering geographic and business markets in which DiamiR has no or limited prior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integrating acquired operations due to geographical distance and language and cultural differences;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acquired assets become impaired, requiring DiamiR to take a charge to earnings which could be significant.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successfully integrate acquired businesses or technology could, for any of these reasons, have an adverse effect on DiamiR’s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operations are dependent upon its key personnel. If such personnel were to leave unexpectedly, DiamiR may not be able to execute its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audits of DiamiR’s financial statements for the years ended May 31, 2026 and 2025,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DiamiR has been operating as a private company, it did not have the necessary formalized processes to effectively implement review controls within its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DiamiR does not successfully implement, maintain or expand these systems as planned, DiamiR’s operations may be disrupted, its ability to accurately and/or timely report its financial results could be impaired and deficiencies may arise in the Company’s internal control over financial reporting (including with respect to DiamiR as a consolidated subsidiary), which may impact the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expects them to, DiamiR or the Company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and, by extension, the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Products and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it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it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research and development efforts will be hindered if it is not able to acquire or contract with third parties for access to additional plasma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it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it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it may develop. A lack of acceptance of its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use third party collaborators to help it develop, validate, or commercialize any new products, and its ability to commercialize such products could be impaired or delayed if these collaborations are unsuccessful.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cannot enter into new clinical study collaborations, its product development and subsequent commercialization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identify collaborators willing to work with it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recognizes that there are inherent risks associated with third-party relationships, which may adversely affect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their relationships with DiamiR. DiamiR does not have control over the amount of time and effort and level of care its third-party service providers will devote to performing their responsibilities under DiamiR’s agreements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use or maintain its trademarks and trade names or build brand recognition in its markets of interest, its business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US Federal trademarks for the marks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DiamiR or the Company, leading a court to decide that one or more of DiamiR’s trademarks is not valid or unenforceable and enjoin DiamiR from further use of the same. If DiamiR is unable to use or maintain its company marks for purposes of building brand recognition by potential partners or customers or DiamiR is unable to establish brand recognition based on those trademarks and trade names, then it may not be able to compete effectively, and DiamiR’s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develop new products and services or acquire products and services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laboratory becomes inoperable for any reason, DiamiR will be unable to perform its testing and its business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landlord does not renew its lease, its clinical and testing operations will be halted until DiamiR locates and sets up a new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Affecting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now or in the future be subject to laws and regulations relating to laboratory testing, which could materially adversely impact its ability to offer its products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its product candidates are approved, DiamiR may be adversely affected by healthcare policy changes, including additional healthcare reform and changes in managed healthcare.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announced in May 2025 that it will not appeal this decision. If the FDA changes its position on this appeal, and wins on appeal, risks associated with the new landscape of LDTs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inability to implement quality standards included in the new guidelines</w:t>
            </w:r>
          </w:p>
        </w:tc>
      </w:tr>
    </w:tbl>
    <w:p>
      <w:pPr>
        <w:pStyle w:val="TextBody"/>
        <w:bidi w:val="0"/>
        <w:spacing w:before="0" w:after="0"/>
        <w:ind w:left="960" w:right="0" w:hanging="48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inability to implement all FDA requirements for LDTs</w:t>
            </w:r>
          </w:p>
        </w:tc>
      </w:tr>
    </w:tbl>
    <w:p>
      <w:pPr>
        <w:pStyle w:val="TextBody"/>
        <w:bidi w:val="0"/>
        <w:spacing w:before="0" w:after="0"/>
        <w:ind w:left="960" w:right="0" w:hanging="48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Backlog at the FDA for review of submission</w:t>
            </w:r>
          </w:p>
        </w:tc>
      </w:tr>
    </w:tbl>
    <w:p>
      <w:pPr>
        <w:pStyle w:val="TextBody"/>
        <w:bidi w:val="0"/>
        <w:spacing w:before="0" w:after="0"/>
        <w:ind w:left="960" w:right="0" w:hanging="48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regulations being adopted by the FDA</w:t>
            </w:r>
          </w:p>
        </w:tc>
      </w:tr>
    </w:tbl>
    <w:p>
      <w:pPr>
        <w:pStyle w:val="TextBody"/>
        <w:bidi w:val="0"/>
        <w:spacing w:before="0" w:after="0"/>
        <w:ind w:left="960" w:right="0" w:hanging="48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timeline to product launch, delaying revenue for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regulatory oversight resulting in delays for product launch</w:t>
            </w:r>
          </w:p>
        </w:tc>
      </w:tr>
    </w:tbl>
    <w:p>
      <w:pPr>
        <w:pStyle w:val="TextBody"/>
        <w:bidi w:val="0"/>
        <w:spacing w:before="0" w:after="0"/>
        <w:ind w:left="960" w:right="0" w:hanging="48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costs of product development and regulatory compliance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960" w:right="0" w:hanging="48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170"/>
        <w:gridCol w:w="2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costs may arise from:</w:t>
            </w:r>
          </w:p>
        </w:tc>
      </w:tr>
    </w:tbl>
    <w:p>
      <w:pPr>
        <w:pStyle w:val="TextBody"/>
        <w:bidi w:val="0"/>
        <w:spacing w:before="0" w:after="0"/>
        <w:ind w:left="1440" w:right="0" w:hanging="48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expansive validation study design</w:t>
            </w:r>
          </w:p>
        </w:tc>
      </w:tr>
    </w:tbl>
    <w:p>
      <w:pPr>
        <w:pStyle w:val="TextBody"/>
        <w:bidi w:val="0"/>
        <w:spacing w:before="0" w:after="0"/>
        <w:ind w:left="1440" w:right="0" w:hanging="48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additional regulatory compliance talent</w:t>
            </w:r>
          </w:p>
        </w:tc>
      </w:tr>
    </w:tbl>
    <w:p>
      <w:pPr>
        <w:pStyle w:val="TextBody"/>
        <w:bidi w:val="0"/>
        <w:spacing w:before="0" w:after="0"/>
        <w:ind w:left="1440" w:right="0" w:hanging="48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additional statistical experts</w:t>
            </w:r>
          </w:p>
        </w:tc>
      </w:tr>
    </w:tbl>
    <w:p>
      <w:pPr>
        <w:pStyle w:val="TextBody"/>
        <w:bidi w:val="0"/>
        <w:spacing w:before="0" w:after="0"/>
        <w:ind w:left="1440" w:right="0" w:hanging="48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unanticipated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various U.S. healthcare related laws regulating sales, contracting, marketing, and other business arrangements and the use and disclosure of individually identifiable health information. These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pStyle w:val="TextBody"/>
        <w:bidi w:val="0"/>
        <w:spacing w:before="0" w:after="0"/>
        <w:ind w:left="960" w:right="0" w:hanging="48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or judicially imposed sanctions;</w:t>
            </w:r>
          </w:p>
        </w:tc>
      </w:tr>
    </w:tbl>
    <w:p>
      <w:pPr>
        <w:pStyle w:val="TextBody"/>
        <w:bidi w:val="0"/>
        <w:spacing w:before="0" w:after="0"/>
        <w:ind w:left="960" w:right="0" w:hanging="48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recall or seizure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corrective field actions for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submission of reports to FDA or other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or partial suspension of production or distribution;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or suspension of marketing clearances or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holds for investigations;</w:t>
            </w:r>
          </w:p>
        </w:tc>
      </w:tr>
    </w:tbl>
    <w:p>
      <w:pPr>
        <w:pStyle w:val="TextBody"/>
        <w:bidi w:val="0"/>
        <w:spacing w:before="0" w:after="0"/>
        <w:ind w:left="960" w:right="0" w:hanging="48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170"/>
        <w:gridCol w:w="2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untitled letters or warning letters;</w:t>
            </w:r>
          </w:p>
        </w:tc>
      </w:tr>
    </w:tbl>
    <w:p>
      <w:pPr>
        <w:pStyle w:val="TextBody"/>
        <w:bidi w:val="0"/>
        <w:spacing w:before="0" w:after="0"/>
        <w:ind w:left="960" w:right="0" w:hanging="48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to permit the import or export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prosecution; and</w:t>
            </w:r>
          </w:p>
        </w:tc>
      </w:tr>
    </w:tbl>
    <w:p>
      <w:pPr>
        <w:pStyle w:val="TextBody"/>
        <w:bidi w:val="0"/>
        <w:spacing w:before="0" w:after="0"/>
        <w:ind w:left="960" w:right="0" w:hanging="48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exclusion or debarment from participation in federal health care programs such as Medicare and Medicaid.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in combination or alone, could prevent DiamiR from marketing, distributing and selling DiamiR’s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fails to comply with federal, state and foreign laboratory licensing requirements, DiamiR could lose the ability to perform its tests or experience disruptions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Intellectual Property and Product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protect or obtain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infringement claims by other companies could result in costly disputes and could limit DiamiR’s ability to sell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successfully brought against DiamiR, DiamiR may incur substantial liabilities and may have to limit or cease sales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(0.78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5,453,103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8,143,757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5,608,757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46"/>
        <w:gridCol w:w="1103"/>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735,178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545,310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year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560,875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160,000,000 shares of capital stock consisting of preferred stock and common stock. Below is a summary of the material terms of each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were 2,938,625 shares of our Common Stock and 179,693 shares of Series A Preferred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150,000,000 shares of common stock, with a par value of $0.0001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Common Stock is entitled to preemptive or subscription rights contained in the Charter or in the Bylaws. There are no redemption or sinking fund provisions applicable to the Common Stock. The rights, preferences, and privileges of holders of the Common Stock are subject to those of the holders of any shares of the preferred stock that the Company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10,000,000 shares of Preferred Stock, with a par value of $0.0001 per share (“Preferred Stock”). The Preferred Stock may be issued from time to time in one or more series. The board of directors of the Corporation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designated 1,810,000 shares of Preferred Stock as Series A Preferred Stock. The holders of Series A Preferred Stock do not have any voting rights and shares of Series A Preferred Stock are not convertible. The Series A Preferred Stock is not redeemable. Upon the completion of a distribution pursuant to a sale or other disposition of all or substantially all of our assets, certain mergers, consolidations and transfers of securities, and any liquidation, dissolution or winding up of the Company, the holders of Series A Preferred Stock are entitled to receive a distribution of any proceeds based on the 70/30 allocation with the holders of Common Stock, (as adjusted for any stock splits, stock dividends, combinations, recapitalizations or the like with respect to the Series A Preferred Stock), plus declared but unpaid dividends on such share.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pursuant to this registration statement,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sz w:val="20"/>
              </w:rPr>
            </w:pPr>
            <w:r>
              <w:rPr>
                <w:sz w:val="20"/>
              </w:rPr>
              <w:t>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sz w:val="20"/>
              </w:rPr>
            </w:pPr>
            <w:r>
              <w:rPr>
                <w:sz w:val="20"/>
              </w:rPr>
              <w:t>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sz w:val="20"/>
              </w:rPr>
            </w:pPr>
            <w:r>
              <w:rPr>
                <w:sz w:val="20"/>
              </w:rPr>
              <w:t>warrants exercisable for debt securities,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subscription rights to purchase any of such securities (“Rights”); and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sz w:val="20"/>
              </w:rPr>
            </w:pPr>
            <w:r>
              <w:rPr>
                <w:sz w:val="20"/>
              </w:rPr>
              <w:t>units of debt securities, Common Stock,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material general terms of our Common Stock and Preferred Stock are above.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the conditions to completion of the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sz w:val="20"/>
              </w:rPr>
            </w:pPr>
            <w:r>
              <w:rPr>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terms of the warrants, including terms, procedures and limitations relating to the exchange and exercise of the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Common Stock or preferred shares of the relevant class or series, holders of the warrants will not have any of the rights of holders of Common Stock or preferred shares purchasable upon exercise, including the right to vote or to receive any payments of dividends or payments upon our liquidation, dissolution or winding up on the Common Stock or preferred shares purchasable upon exercise,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2026, we have common stock purchase warrants to purchase up to 200,000 shares of Common Stock outstanding, with an exercise price of $0.01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identification and description of the separate constituent securities comprising the units;</w:t>
            </w:r>
          </w:p>
        </w:tc>
      </w:tr>
    </w:tbl>
    <w:p>
      <w:pPr>
        <w:pStyle w:val="TextBody"/>
        <w:bidi w:val="0"/>
        <w:spacing w:before="0" w:after="0"/>
        <w:ind w:left="0" w:right="0" w:hanging="0"/>
        <w:jc w:val="center"/>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date, if any, on and after which the constituent securities comprising the units will be separately transferable,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any other material terms of the units and their constituent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will apply to each unit and to any Common Stock, preferred shares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17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sz w:val="20"/>
              </w:rPr>
            </w:pPr>
            <w:r>
              <w:rPr>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sz w:val="20"/>
              </w:rPr>
            </w:pPr>
            <w:r>
              <w:rPr>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sz w:val="20"/>
              </w:rPr>
            </w:pPr>
            <w:r>
              <w:rPr>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the terms of the subordination of any series of subordinated debt,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our right, if any, to defer payment of interest and the maximum length of any such deferral period;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sz w:val="20"/>
              </w:rPr>
            </w:pPr>
            <w:r>
              <w:rPr>
                <w:sz w:val="20"/>
              </w:rPr>
              <w:t>whether the indenture will restrict our ability and/or the ability of our subsidiaries to,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sz w:val="20"/>
              </w:rPr>
            </w:pPr>
            <w:r>
              <w:rPr>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issue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sz w:val="20"/>
              </w:rPr>
            </w:pPr>
            <w:r>
              <w:rPr>
                <w:sz w:val="20"/>
              </w:rPr>
              <w:t>create liens;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sz w:val="20"/>
              </w:rPr>
            </w:pPr>
            <w:r>
              <w:rPr>
                <w:sz w:val="20"/>
              </w:rPr>
              <w:t>redeem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place restrictions on our subsidiaries’ ability to pay dividends, make distributions or transfer assets;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sz w:val="20"/>
              </w:rPr>
            </w:pPr>
            <w:r>
              <w:rPr>
                <w:sz w:val="20"/>
              </w:rPr>
              <w:t>make investments or other restricted payments;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sz w:val="20"/>
              </w:rPr>
            </w:pPr>
            <w:r>
              <w:rPr>
                <w:sz w:val="20"/>
              </w:rPr>
              <w:t>sell or otherwise dispose of assets;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sz w:val="20"/>
              </w:rPr>
            </w:pPr>
            <w:r>
              <w:rPr>
                <w:sz w:val="20"/>
              </w:rPr>
              <w:t>enter into sale-leaseback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engage in transactions with stockholders and affiliates;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issue or sell stock of our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effect a consolidation or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to comply with the provisions described above under “Consolidation, Merger or Sale”;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sz w:val="20"/>
              </w:rPr>
            </w:pPr>
            <w:r>
              <w:rPr>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register the transfer or exchange of debt securities of the series;</w:t>
            </w:r>
          </w:p>
        </w:tc>
      </w:tr>
    </w:tbl>
    <w:p>
      <w:pPr>
        <w:pStyle w:val="TextBody"/>
        <w:bidi w:val="0"/>
        <w:spacing w:before="0" w:after="0"/>
        <w:ind w:left="0" w:right="0" w:hanging="0"/>
        <w:jc w:val="center"/>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sz w:val="20"/>
              </w:rPr>
            </w:pPr>
            <w:r>
              <w:rPr>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sz w:val="20"/>
              </w:rPr>
            </w:pPr>
            <w:r>
              <w:rPr>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sz w:val="20"/>
              </w:rPr>
            </w:pPr>
            <w:r>
              <w:rPr>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sz w:val="20"/>
              </w:rPr>
            </w:pPr>
            <w:r>
              <w:rPr>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Certificate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permit the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sz w:val="20"/>
              </w:rPr>
            </w:pPr>
            <w:r>
              <w:rPr>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special meetings of the Company’s stockholders may be called only by the Board, the chairperson of the Board, the Company’s Chief Executive Officer or upon the written request by a majority of the shareholders entitled to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Board, the Chairman of the Board, the Chief Executive Officer of the Company, or upon the written request by a majority of the shareholders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Board approves the transaction that made the stockholder an “interested stockholder,” prior to the date of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for any breach of a director’s duty of loyalty to the corporation or its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up to $75,000,000 of common stock, preferred stock, warrants, subscription rights, debt securities and/or units consisting of some or all of these securities in one or more underwritten public offerings, at-the-market offerings, negotiated transactions, block trades, best efforts or a combination of these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“at-the-market” to or through a market maker into an existing trading market or otherwise directly to one or more purchasers or through agents or through a combination of methods of sale.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names of any underwriters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purchase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offering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Niki BioSolutions, Inc. (formerly known as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included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as described in Note 2 to the financial statements) of Marcum Asia CPAs LLP, an independent registered public accounting firm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DiamiR Biosciences Corp. as of May 31, 2026 and 2025, and the related consolidated statements of operations, stockholders’ deficit and cash flows for each of the two years in the period ended May 31, 2026, incorporated by reference in this 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along with other information with the SEC. Our SEC filings are available to the public over the Internet at the SEC’s website at http://www.sec.gov; you can also find our filings on our company website: nikibio.com and nikibiosolutions.com.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8-K or 8-K/A filed on </w:t>
            </w:r>
            <w:hyperlink r:id="rId2">
              <w:r>
                <w:rPr>
                  <w:rStyle w:val="InternetLink"/>
                  <w:rFonts w:ascii="Times New Roman;Times;Serif" w:hAnsi="Times New Roman;Times;Serif"/>
                  <w:sz w:val="20"/>
                </w:rPr>
                <w:t>July 20, 2026</w:t>
              </w:r>
            </w:hyperlink>
            <w:r>
              <w:rPr>
                <w:rFonts w:ascii="Times New Roman;Times;Serif" w:hAnsi="Times New Roman;Times;Serif"/>
                <w:sz w:val="20"/>
              </w:rPr>
              <w:t xml:space="preserve">, </w:t>
            </w:r>
            <w:hyperlink r:id="rId3">
              <w:r>
                <w:rPr>
                  <w:rStyle w:val="InternetLink"/>
                  <w:rFonts w:ascii="Times New Roman;Times;Serif" w:hAnsi="Times New Roman;Times;Serif"/>
                  <w:sz w:val="20"/>
                </w:rPr>
                <w:t>August 21, 2026</w:t>
              </w:r>
            </w:hyperlink>
            <w:r>
              <w:rPr>
                <w:rFonts w:ascii="Times New Roman;Times;Serif" w:hAnsi="Times New Roman;Times;Serif"/>
                <w:sz w:val="20"/>
              </w:rPr>
              <w:t xml:space="preserve">, </w:t>
            </w:r>
            <w:hyperlink r:id="rId4">
              <w:r>
                <w:rPr>
                  <w:rStyle w:val="InternetLink"/>
                  <w:rFonts w:ascii="Times New Roman;Times;Serif" w:hAnsi="Times New Roman;Times;Serif"/>
                  <w:sz w:val="20"/>
                </w:rPr>
                <w:t>August 21,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September 4, 2026</w:t>
              </w:r>
            </w:hyperlink>
            <w:r>
              <w:rPr>
                <w:rFonts w:ascii="Times New Roman;Times;Serif" w:hAnsi="Times New Roman;Times;Serif"/>
                <w:sz w:val="20"/>
              </w:rPr>
              <w:t xml:space="preserve"> (except for the portions of such reports deemed to be furnished and not filed); 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20, 2026,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 xml:space="preserve">INDEX TO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APTORUM’S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 xml:space="preserve">Report of Independent Registered Public Accounting Firm (PCAOB ID: 5395)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690"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 xml:space="preserve">Consolidated Balance Sheets as of December 31, 2025 and 2024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969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 xml:space="preserve">Consolidated Statements of Operations and Comprehensive Loss for the years ended December 31, 2025, 2024 and 2023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9690"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 xml:space="preserve">Consolidated Statements of Changes of Equity for the years ended December 31, 2025, 2024 and 2023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69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 xml:space="preserve">Consolidated Statements of Cash Flows for the years ended December 31, 2025, 2024 and 2023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690"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 xml:space="preserve">Notes to Consolidated Financial Statements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f_001"/>
      <w:bookmarkEnd w:id="15"/>
      <w:r>
        <w:rPr>
          <w:rFonts w:ascii="Times New Roman;Times;Serif" w:hAnsi="Times New Roman;Times;Serif"/>
          <w:b/>
          <w:i w:val="false"/>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Aptorum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Paragraph — Going Concern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br/>
        <w:t>March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f_002"/>
      <w:bookmarkEnd w:id="16"/>
      <w:r>
        <w:rPr>
          <w:rFonts w:ascii="Times New Roman;Times;Serif" w:hAnsi="Times New Roman;Times;Serif"/>
          <w:b/>
          <w:i w:val="false"/>
          <w:caps w:val="false"/>
          <w:smallCaps w:val="false"/>
          <w:sz w:val="20"/>
        </w:rPr>
        <w:t>APTORUM GROUP LIMITED</w:t>
        <w:b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2"/>
        <w:gridCol w:w="60"/>
        <w:gridCol w:w="144"/>
        <w:gridCol w:w="1216"/>
        <w:gridCol w:w="95"/>
        <w:gridCol w:w="60"/>
        <w:gridCol w:w="144"/>
        <w:gridCol w:w="1216"/>
        <w:gridCol w:w="88"/>
      </w:tblGrid>
      <w:tr>
        <w:trPr/>
        <w:tc>
          <w:tcPr>
            <w:tcW w:w="7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88"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874,238</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139,633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85,316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3,592,524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959,554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Long-term investments,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15,098,846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15,098,846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71,823</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16,130,223</w:t>
            </w:r>
          </w:p>
        </w:tc>
        <w:tc>
          <w:tcPr>
            <w:tcW w:w="88" w:type="dxa"/>
            <w:tcBorders/>
            <w:shd w:fill="FFFFFF" w:val="clear"/>
            <w:vAlign w:val="center"/>
          </w:tcPr>
          <w:p>
            <w:pPr>
              <w:pStyle w:val="TableContents"/>
              <w:bidi w:val="0"/>
              <w:spacing w:before="0" w:after="283"/>
              <w:jc w:val="left"/>
              <w:rPr/>
            </w:pPr>
            <w:r>
              <w:rPr/>
              <w:t> </w:t>
            </w:r>
          </w:p>
        </w:tc>
      </w:tr>
      <w:tr>
        <w:trPr/>
        <w:tc>
          <w:tcPr>
            <w:tcW w:w="7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6" w:type="dxa"/>
            <w:tcBorders/>
            <w:shd w:fill="FFFFFF" w:val="clear"/>
            <w:vAlign w:val="center"/>
          </w:tcPr>
          <w:p>
            <w:pPr>
              <w:pStyle w:val="TableContents"/>
              <w:bidi w:val="0"/>
              <w:spacing w:before="0" w:after="283"/>
              <w:jc w:val="right"/>
              <w:rPr/>
            </w:pPr>
            <w:r>
              <w:rPr/>
              <w:t>79,180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6" w:type="dxa"/>
            <w:tcBorders/>
            <w:shd w:fill="FFFFFF" w:val="clear"/>
            <w:vAlign w:val="center"/>
          </w:tcPr>
          <w:p>
            <w:pPr>
              <w:pStyle w:val="TableContents"/>
              <w:bidi w:val="0"/>
              <w:spacing w:before="0" w:after="283"/>
              <w:jc w:val="right"/>
              <w:rPr/>
            </w:pPr>
            <w:r>
              <w:rPr/>
              <w:t>79,644</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1,071,715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918,611</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102,225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Convertible notes to a related party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3,238,500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4,593,823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4,338,980</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14,182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306,000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4,899,823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4,353,162</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Commitments and contingencies (Note 21)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TEMPORARY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Contingently redeemable warrants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temporary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Class A Ordinary Shares ($0.00001 par value, 9,999,996,000,000 shares authorized, 6,346,823 shares issued and outstanding as of December 31, 2025; 3,811,823 shares issued and outstanding as of December 31, 2024)</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 xml:space="preserve">Class B Ordinary Shares ($0.00001 par value; 4,000,000 shares authorized, 1,796,934 shares issued and outstanding as of December 31, 2025 </w:t>
              <w:br/>
              <w:t>and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18</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97,000,188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93,474,825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(92,310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89,162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(73,792,798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(72,429,528</w:t>
            </w:r>
          </w:p>
        </w:tc>
        <w:tc>
          <w:tcPr>
            <w:tcW w:w="88" w:type="dxa"/>
            <w:tcBorders/>
            <w:shd w:fill="FFFFFF" w:val="clear"/>
            <w:vAlign w:val="center"/>
          </w:tcPr>
          <w:p>
            <w:pPr>
              <w:pStyle w:val="TableContents"/>
              <w:bidi w:val="0"/>
              <w:spacing w:before="0" w:after="283"/>
              <w:ind w:left="0" w:right="0" w:hanging="200"/>
              <w:jc w:val="left"/>
              <w:rPr/>
            </w:pPr>
            <w:r>
              <w:rPr/>
              <w:t>)</w:t>
            </w:r>
          </w:p>
        </w:tc>
      </w:tr>
      <w:tr>
        <w:trPr/>
        <w:tc>
          <w:tcPr>
            <w:tcW w:w="7182" w:type="dxa"/>
            <w:tcBorders/>
            <w:shd w:fill="CCEEFF" w:val="clear"/>
            <w:vAlign w:val="center"/>
          </w:tcPr>
          <w:p>
            <w:pPr>
              <w:pStyle w:val="TableContents"/>
              <w:bidi w:val="0"/>
              <w:spacing w:before="0" w:after="283"/>
              <w:jc w:val="left"/>
              <w:rPr>
                <w:b/>
              </w:rPr>
            </w:pPr>
            <w:r>
              <w:rPr>
                <w:b/>
              </w:rPr>
              <w:t>Total equity attributable to the shareholders of Aptorum Group Limited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23,115,160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21,134,514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(9,370,613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(9,357,453</w:t>
            </w:r>
          </w:p>
        </w:tc>
        <w:tc>
          <w:tcPr>
            <w:tcW w:w="88" w:type="dxa"/>
            <w:tcBorders/>
            <w:shd w:fill="FFFFFF" w:val="clear"/>
            <w:vAlign w:val="center"/>
          </w:tcPr>
          <w:p>
            <w:pPr>
              <w:pStyle w:val="TableContents"/>
              <w:bidi w:val="0"/>
              <w:spacing w:before="0" w:after="283"/>
              <w:ind w:left="0" w:right="0" w:hanging="200"/>
              <w:jc w:val="left"/>
              <w:rPr/>
            </w:pPr>
            <w:r>
              <w:rPr/>
              <w:t>)</w:t>
            </w:r>
          </w:p>
        </w:tc>
      </w:tr>
      <w:tr>
        <w:trPr/>
        <w:tc>
          <w:tcPr>
            <w:tcW w:w="7182"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13,744,547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11,777,061</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Liabilities, Temporary Equity and Equity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16,130,223</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3"/>
      <w:bookmarkEnd w:id="17"/>
      <w:r>
        <w:rPr>
          <w:rFonts w:ascii="Times New Roman;Times;Serif" w:hAnsi="Times New Roman;Times;Serif"/>
          <w:b/>
          <w:i w:val="false"/>
          <w:caps w:val="false"/>
          <w:smallCaps w:val="false"/>
          <w:sz w:val="20"/>
        </w:rPr>
        <w:t>APTORUM GROUP LIMITED</w:t>
        <w:br/>
        <w:t xml:space="preserve">CONSOLIDATED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Years Ended December 31, 2025, 2024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3"/>
        <w:gridCol w:w="60"/>
        <w:gridCol w:w="168"/>
        <w:gridCol w:w="1280"/>
        <w:gridCol w:w="95"/>
        <w:gridCol w:w="60"/>
        <w:gridCol w:w="168"/>
        <w:gridCol w:w="1280"/>
        <w:gridCol w:w="95"/>
        <w:gridCol w:w="60"/>
        <w:gridCol w:w="66"/>
        <w:gridCol w:w="1306"/>
        <w:gridCol w:w="114"/>
      </w:tblGrid>
      <w:tr>
        <w:trPr/>
        <w:tc>
          <w:tcPr>
            <w:tcW w:w="5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4" w:type="dxa"/>
            <w:tcBorders/>
            <w:vAlign w:val="center"/>
          </w:tcPr>
          <w:p>
            <w:pPr>
              <w:pStyle w:val="TableContents"/>
              <w:bidi w:val="0"/>
              <w:spacing w:before="0" w:after="283"/>
              <w:jc w:val="left"/>
              <w:rPr/>
            </w:pPr>
            <w:r>
              <w:rPr/>
              <w:t> </w:t>
            </w:r>
          </w:p>
        </w:tc>
      </w:tr>
      <w:tr>
        <w:trPr/>
        <w:tc>
          <w:tcPr>
            <w:tcW w:w="5453"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Healthcare services income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431,378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Cost of healthcare services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(420,812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(352,879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(2,195,161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(5,198,329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(573,059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(669,486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(1,930,637</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(1,062,346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(803,285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(2,538,161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Other operating income (expenses)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170,756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(272,609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(1,067,690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(1,817,528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(3,940,541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(11,155,629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Other (expense) income,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Loss on investments in marketable securities,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(9,266</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Unrealized gain from fair value change of the long-term investments,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6,431,088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Impairment loss of long-term investment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(77,200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(146,924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(121,145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Issuance cost allocated to warrant liability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Government subsidies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928,461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123,015</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Sundry income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36,784</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441,098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(217,196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6,383,276</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(4,340,975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Net income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(110,069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1,516,328</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(4,267,806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(2,824,647</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Net loss per share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5,453,103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4,521,133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(4,340,975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99,785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(44,430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(181,472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99,785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(44,430</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(1,557,902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(4,057,952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(4,385,405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110,069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(1,516,328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b/>
              </w:rPr>
            </w:pPr>
            <w:r>
              <w:rPr>
                <w:b/>
              </w:rPr>
              <w:t>Comprehensive loss attributable to the shareholders of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(1,544,742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(4,168,021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(2,869,077</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4"/>
      <w:bookmarkEnd w:id="18"/>
      <w:r>
        <w:rPr>
          <w:rFonts w:ascii="Times New Roman;Times;Serif" w:hAnsi="Times New Roman;Times;Serif"/>
          <w:b/>
          <w:i w:val="false"/>
          <w:caps w:val="false"/>
          <w:smallCaps w:val="false"/>
          <w:sz w:val="20"/>
        </w:rPr>
        <w:t>APTORUM GROUP LIMITED</w:t>
        <w:br/>
        <w:t>CONSOLIDATED STATEMENTS OF CHANGES IN EQUITY</w:t>
        <w:br/>
        <w:t xml:space="preserve">For Years Ended December 31, 2025, 2024 and 2023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4195" w:type="dxa"/>
        <w:jc w:val="left"/>
        <w:tblInd w:w="0" w:type="dxa"/>
        <w:tblLayout w:type="fixed"/>
        <w:tblCellMar>
          <w:top w:w="0" w:type="dxa"/>
          <w:left w:w="0" w:type="dxa"/>
          <w:bottom w:w="0" w:type="dxa"/>
          <w:right w:w="0" w:type="dxa"/>
        </w:tblCellMar>
      </w:tblPr>
      <w:tblGrid>
        <w:gridCol w:w="1490"/>
        <w:gridCol w:w="60"/>
        <w:gridCol w:w="60"/>
        <w:gridCol w:w="980"/>
        <w:gridCol w:w="60"/>
        <w:gridCol w:w="60"/>
        <w:gridCol w:w="140"/>
        <w:gridCol w:w="1175"/>
        <w:gridCol w:w="95"/>
        <w:gridCol w:w="60"/>
        <w:gridCol w:w="60"/>
        <w:gridCol w:w="980"/>
        <w:gridCol w:w="95"/>
        <w:gridCol w:w="60"/>
        <w:gridCol w:w="140"/>
        <w:gridCol w:w="1175"/>
        <w:gridCol w:w="95"/>
        <w:gridCol w:w="60"/>
        <w:gridCol w:w="140"/>
        <w:gridCol w:w="1100"/>
        <w:gridCol w:w="95"/>
        <w:gridCol w:w="60"/>
        <w:gridCol w:w="145"/>
        <w:gridCol w:w="1225"/>
        <w:gridCol w:w="95"/>
        <w:gridCol w:w="60"/>
        <w:gridCol w:w="222"/>
        <w:gridCol w:w="1388"/>
        <w:gridCol w:w="95"/>
        <w:gridCol w:w="60"/>
        <w:gridCol w:w="140"/>
        <w:gridCol w:w="1055"/>
        <w:gridCol w:w="95"/>
        <w:gridCol w:w="60"/>
        <w:gridCol w:w="140"/>
        <w:gridCol w:w="1100"/>
        <w:gridCol w:w="75"/>
      </w:tblGrid>
      <w:tr>
        <w:trPr/>
        <w:tc>
          <w:tcPr>
            <w:tcW w:w="149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br/>
              <w:t>Ordinary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br/>
              <w:t>Ordinary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 xml:space="preserve">Additional </w:t>
              <w:br/>
              <w:t xml:space="preserve">Paid-in </w:t>
              <w:b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 xml:space="preserve">Accumulated </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 xml:space="preserve">Other </w:t>
              <w:br/>
              <w:t xml:space="preserve">Comprehensive </w:t>
              <w:b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Non-</w:t>
              <w:br/>
              <w:t xml:space="preserve">Controlling </w:t>
              <w:b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r>
              <w:rPr>
                <w:b/>
                <w:position w:val="8"/>
                <w:sz w:val="19"/>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 xml:space="preserve">Balance, January 1 </w:t>
              <w:b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1,326,953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13,269,528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2,243,776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22,437,754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45,308,080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(65,337,075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b/>
              </w:rPr>
            </w:pPr>
            <w:r>
              <w:rPr>
                <w:b/>
              </w:rPr>
              <w:t>$</w:t>
            </w:r>
          </w:p>
        </w:tc>
        <w:tc>
          <w:tcPr>
            <w:tcW w:w="1388" w:type="dxa"/>
            <w:tcBorders/>
            <w:shd w:fill="CCEEFF" w:val="clear"/>
            <w:vAlign w:val="center"/>
          </w:tcPr>
          <w:p>
            <w:pPr>
              <w:pStyle w:val="TableContents"/>
              <w:bidi w:val="0"/>
              <w:spacing w:before="0" w:after="283"/>
              <w:jc w:val="right"/>
              <w:rPr>
                <w:b/>
              </w:rPr>
            </w:pPr>
            <w:r>
              <w:rPr>
                <w:b/>
              </w:rPr>
              <w:t>33,807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(7,878,789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7,833,305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Adjustment for change of 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(13,269,514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(22,437,732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35,707,246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shares to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Issuance of shares in exchange of share options and settlement of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3,078,195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3,078,196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shares for 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176,264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1,575,560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1,575,562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1,088,925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1,088,925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Conversion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5,999,987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6,000,000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Exercise of share </w:t>
              <w:b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16,506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Rounding up for reverse stock split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Exchange difference on translation of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(44,430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(44,430</w:t>
            </w:r>
          </w:p>
        </w:tc>
        <w:tc>
          <w:tcPr>
            <w:tcW w:w="75"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(2,824,647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(1,516,328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(4,340,975</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49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2,937,921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2,243,776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93,018,528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(68,161,722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b/>
              </w:rPr>
            </w:pPr>
            <w:r>
              <w:rPr>
                <w:b/>
              </w:rPr>
              <w:t>(10,623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(9,462,883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15,383,353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Conversion of Class B Ordinary Shares to Class A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427,060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451,658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451,660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Exchange difference on translation of foreign operation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99,785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99,785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Disposal of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(4,267,806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110,069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(4,157,737</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49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3,811,823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1,796,934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93,474,825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(72,429,528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b/>
              </w:rPr>
            </w:pPr>
            <w:r>
              <w:rPr>
                <w:b/>
              </w:rPr>
              <w:t>89,162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(9,357,453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11,777,061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Issuance of Class A Ordinary Shares upon January 2025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2,699,185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2,699,200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(1,376,430</w:t>
            </w:r>
          </w:p>
        </w:tc>
        <w:tc>
          <w:tcPr>
            <w:tcW w:w="75"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shd w:fill="FFFFFF" w:val="clear"/>
            <w:vAlign w:val="center"/>
          </w:tcPr>
          <w:p>
            <w:pPr>
              <w:pStyle w:val="TableContents"/>
              <w:bidi w:val="0"/>
              <w:spacing w:before="0" w:after="283"/>
              <w:jc w:val="left"/>
              <w:rPr/>
            </w:pPr>
            <w:r>
              <w:rPr/>
              <w:t>Exchange difference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(181,472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(181,472</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490" w:type="dxa"/>
            <w:tcBorders/>
            <w:shd w:fill="CCEEFF" w:val="clear"/>
            <w:vAlign w:val="center"/>
          </w:tcPr>
          <w:p>
            <w:pPr>
              <w:pStyle w:val="TableContents"/>
              <w:bidi w:val="0"/>
              <w:spacing w:before="0" w:after="283"/>
              <w:jc w:val="left"/>
              <w:rPr/>
            </w:pPr>
            <w:r>
              <w:rPr/>
              <w:t>Issuance of Class A Ordinary Shares upon October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873,188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 xml:space="preserve">Accretion of redemption value to contingently redeemable </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(47,000</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49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6,346,823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1,796,934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97,000,188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(73,792,798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double" w:sz="10" w:space="0" w:color="000000"/>
            </w:tcBorders>
            <w:shd w:fill="CCEEFF" w:val="clear"/>
            <w:tcMar>
              <w:bottom w:w="28" w:type="dxa"/>
            </w:tcMar>
            <w:vAlign w:val="center"/>
          </w:tcPr>
          <w:p>
            <w:pPr>
              <w:pStyle w:val="TableContents"/>
              <w:bidi w:val="0"/>
              <w:spacing w:before="0" w:after="283"/>
              <w:jc w:val="right"/>
              <w:rPr/>
            </w:pPr>
            <w:r>
              <w:rPr/>
              <w:t>(92,310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(9,370,613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13,744,547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5"/>
      <w:bookmarkEnd w:id="19"/>
      <w:r>
        <w:rPr>
          <w:rFonts w:ascii="Times New Roman;Times;Serif" w:hAnsi="Times New Roman;Times;Serif"/>
          <w:b/>
          <w:i w:val="false"/>
          <w:caps w:val="false"/>
          <w:smallCaps w:val="false"/>
          <w:sz w:val="20"/>
        </w:rPr>
        <w:t>APTORUM GROUP LIMITED</w:t>
        <w:br/>
        <w:t>CONSOLIDATED STATEMENTS OF CASH FLOWS</w:t>
        <w:br/>
        <w:t>For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8"/>
        <w:gridCol w:w="60"/>
        <w:gridCol w:w="169"/>
        <w:gridCol w:w="1285"/>
        <w:gridCol w:w="95"/>
        <w:gridCol w:w="60"/>
        <w:gridCol w:w="169"/>
        <w:gridCol w:w="1285"/>
        <w:gridCol w:w="95"/>
        <w:gridCol w:w="60"/>
        <w:gridCol w:w="72"/>
        <w:gridCol w:w="1284"/>
        <w:gridCol w:w="113"/>
      </w:tblGrid>
      <w:tr>
        <w:trPr/>
        <w:tc>
          <w:tcPr>
            <w:tcW w:w="5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3"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(4,340,975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Amortization and depreciation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255,046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1,125,254</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Issuance cost in relation to warrant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153,189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(690,000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1,265,189</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Loss on investments in marketable securities,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9,266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Unrealized loss (gain) from fair value change of the long-term investments, net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(6,431,088</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Impairment loss of long-term investment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77,200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(Gain) loss on disposal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110,852</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Impairment loss on long-lived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1,699,481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750,381</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Allowance for credit loss of due from a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521,007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Write-off of prepayment and other receivables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45,677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62,369</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Write-off of accounts receivable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6,280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Write-down of 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13,206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50,520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252,345</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Interest expense and accretion of convertible debts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45,266</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Reversal of deferred cash bonus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(1,646,228</w:t>
            </w:r>
          </w:p>
        </w:tc>
        <w:tc>
          <w:tcPr>
            <w:tcW w:w="113" w:type="dxa"/>
            <w:tcBorders/>
            <w:shd w:fill="CCEEFF" w:val="clear"/>
            <w:vAlign w:val="center"/>
          </w:tcPr>
          <w:p>
            <w:pPr>
              <w:pStyle w:val="TableContents"/>
              <w:bidi w:val="0"/>
              <w:spacing w:before="0" w:after="283"/>
              <w:jc w:val="left"/>
              <w:rPr/>
            </w:pPr>
            <w:r>
              <w:rPr/>
              <w:t>)</w:t>
            </w:r>
          </w:p>
        </w:tc>
      </w:tr>
      <w:tr>
        <w:trPr/>
        <w:tc>
          <w:tcPr>
            <w:tcW w:w="5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41,349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126,717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14,516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17,506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291,078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227,457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29,106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63,050</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(8,524</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(28,368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(422,705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398,635</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(91,979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(120,824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(389,365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(1,836,546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(1,189,734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FFFFFF" w:val="clear"/>
            <w:tcMar>
              <w:bottom w:w="28" w:type="dxa"/>
            </w:tcMar>
            <w:vAlign w:val="center"/>
          </w:tcPr>
          <w:p>
            <w:pPr>
              <w:pStyle w:val="TableContents"/>
              <w:bidi w:val="0"/>
              <w:spacing w:before="0" w:after="283"/>
              <w:jc w:val="right"/>
              <w:rPr/>
            </w:pPr>
            <w:r>
              <w:rPr/>
              <w:t>(7,724,364</w:t>
            </w:r>
          </w:p>
        </w:tc>
        <w:tc>
          <w:tcPr>
            <w:tcW w:w="113" w:type="dxa"/>
            <w:tcBorders/>
            <w:shd w:fill="FFFFFF" w:val="clear"/>
            <w:vAlign w:val="center"/>
          </w:tcPr>
          <w:p>
            <w:pPr>
              <w:pStyle w:val="TableContents"/>
              <w:bidi w:val="0"/>
              <w:spacing w:before="0" w:after="283"/>
              <w:jc w:val="left"/>
              <w:rPr/>
            </w:pPr>
            <w:r>
              <w:rPr/>
              <w:t>)</w:t>
            </w:r>
          </w:p>
        </w:tc>
      </w:tr>
      <w:tr>
        <w:trPr/>
        <w:tc>
          <w:tcPr>
            <w:tcW w:w="5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(3,015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15,385</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Proceeds from sales of investment securities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93,215</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Loan to a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(92,459</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Repayment of loan and interest from a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611,641</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b/>
              </w:rPr>
            </w:pPr>
            <w:r>
              <w:rPr>
                <w:b/>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FFFFFF" w:val="clear"/>
            <w:tcMar>
              <w:bottom w:w="28" w:type="dxa"/>
            </w:tcMar>
            <w:vAlign w:val="center"/>
          </w:tcPr>
          <w:p>
            <w:pPr>
              <w:pStyle w:val="TableContents"/>
              <w:bidi w:val="0"/>
              <w:spacing w:before="0" w:after="283"/>
              <w:jc w:val="right"/>
              <w:rPr/>
            </w:pPr>
            <w:r>
              <w:rPr/>
              <w:t>624,767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CONSOLIDATED STATEMENTS OF CASH FLOWS — (Continued)</w:t>
        <w:br/>
        <w:t>For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3"/>
        <w:gridCol w:w="60"/>
        <w:gridCol w:w="180"/>
        <w:gridCol w:w="1273"/>
        <w:gridCol w:w="95"/>
        <w:gridCol w:w="60"/>
        <w:gridCol w:w="168"/>
        <w:gridCol w:w="1285"/>
        <w:gridCol w:w="95"/>
        <w:gridCol w:w="60"/>
        <w:gridCol w:w="72"/>
        <w:gridCol w:w="1280"/>
        <w:gridCol w:w="114"/>
      </w:tblGrid>
      <w:tr>
        <w:trPr/>
        <w:tc>
          <w:tcPr>
            <w:tcW w:w="5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4" w:type="dxa"/>
            <w:tcBorders/>
            <w:vAlign w:val="center"/>
          </w:tcPr>
          <w:p>
            <w:pPr>
              <w:pStyle w:val="TableContents"/>
              <w:bidi w:val="0"/>
              <w:spacing w:before="0" w:after="283"/>
              <w:jc w:val="left"/>
              <w:rPr/>
            </w:pPr>
            <w:r>
              <w:rPr/>
              <w:t> </w:t>
            </w:r>
          </w:p>
        </w:tc>
      </w:tr>
      <w:tr>
        <w:trPr/>
        <w:tc>
          <w:tcPr>
            <w:tcW w:w="5463" w:type="dxa"/>
            <w:tcBorders/>
            <w:vAlign w:val="center"/>
          </w:tcPr>
          <w:p>
            <w:pPr>
              <w:pStyle w:val="TableContents"/>
              <w:bidi w:val="0"/>
              <w:spacing w:before="0" w:after="283"/>
              <w:jc w:val="left"/>
              <w:rPr>
                <w:b/>
              </w:rPr>
            </w:pPr>
            <w:r>
              <w:rPr>
                <w:b/>
              </w:rPr>
              <w:t>Cash flows from financing activities</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2,500,000</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Proceeds from issuance of Class A Ordinary Shares, and warrant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1,575,562</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Exercise of share options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16,506</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Payments related to offering costs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(284,001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Repayment of bank loan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(3,000,000</w:t>
            </w:r>
          </w:p>
        </w:tc>
        <w:tc>
          <w:tcPr>
            <w:tcW w:w="114" w:type="dxa"/>
            <w:tcBorders/>
            <w:shd w:fill="CCEEFF" w:val="clear"/>
            <w:vAlign w:val="center"/>
          </w:tcPr>
          <w:p>
            <w:pPr>
              <w:pStyle w:val="TableContents"/>
              <w:bidi w:val="0"/>
              <w:spacing w:before="0" w:after="283"/>
              <w:jc w:val="left"/>
              <w:rPr/>
            </w:pPr>
            <w:r>
              <w:rPr/>
              <w:t>)</w:t>
            </w:r>
          </w:p>
        </w:tc>
      </w:tr>
      <w:tr>
        <w:trPr/>
        <w:tc>
          <w:tcPr>
            <w:tcW w:w="5463"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3,000,000</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Proceeds from issuance of Class A Ordinary Shares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3,070,000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Payments related to offering costs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(370,800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4,415,199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4,092,068</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Net increase (decrease) in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2,578,653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(1,131,113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(3,007,529</w:t>
            </w:r>
          </w:p>
        </w:tc>
        <w:tc>
          <w:tcPr>
            <w:tcW w:w="114" w:type="dxa"/>
            <w:tcBorders/>
            <w:shd w:fill="CCEEFF" w:val="clear"/>
            <w:vAlign w:val="center"/>
          </w:tcPr>
          <w:p>
            <w:pPr>
              <w:pStyle w:val="TableContents"/>
              <w:bidi w:val="0"/>
              <w:spacing w:before="0" w:after="283"/>
              <w:jc w:val="left"/>
              <w:rPr/>
            </w:pPr>
            <w:r>
              <w:rPr/>
              <w:t>)</w:t>
            </w:r>
          </w:p>
        </w:tc>
      </w:tr>
      <w:tr>
        <w:trPr/>
        <w:tc>
          <w:tcPr>
            <w:tcW w:w="5463" w:type="dxa"/>
            <w:tcBorders/>
            <w:shd w:fill="FFFFFF" w:val="clear"/>
            <w:vAlign w:val="center"/>
          </w:tcPr>
          <w:p>
            <w:pPr>
              <w:pStyle w:val="TableContents"/>
              <w:bidi w:val="0"/>
              <w:spacing w:before="0" w:after="283"/>
              <w:jc w:val="left"/>
              <w:rPr/>
            </w:pPr>
            <w:r>
              <w:rPr/>
              <w:t>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874,238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2,005,351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5,012,880</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Cash and cash equivalents – End of year</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pPr>
            <w:r>
              <w:rPr/>
              <w:t>874,238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2,005,351</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94,108</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b/>
              </w:rPr>
            </w:pPr>
            <w:r>
              <w:rPr>
                <w:b/>
              </w:rPr>
              <w:t>Non-cash operating,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Reclassification of placement agent warrant redemption amount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338,525</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Convertible notes converted to Class A Ordinary Shares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6,000,000</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Settlement of deferred cash bonus by issuance of share options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285" w:type="dxa"/>
            <w:tcBorders/>
            <w:shd w:fill="FFFFFF" w:val="clear"/>
            <w:vAlign w:val="center"/>
          </w:tcPr>
          <w:p>
            <w:pPr>
              <w:pStyle w:val="TableContents"/>
              <w:bidi w:val="0"/>
              <w:spacing w:before="0" w:after="283"/>
              <w:jc w:val="right"/>
              <w:rPr/>
            </w:pPr>
            <w:r>
              <w:rPr/>
              <w:t>451,660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3,078,196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6"/>
      <w:bookmarkEnd w:id="20"/>
      <w:r>
        <w:rPr>
          <w:rFonts w:ascii="Times New Roman;Times;Serif" w:hAnsi="Times New Roman;Times;Serif"/>
          <w:b/>
          <w:i w:val="false"/>
          <w:caps w:val="false"/>
          <w:smallCaps w:val="false"/>
          <w:sz w:val="20"/>
        </w:rPr>
        <w:t>APTORUM GROUP LIMITED</w:t>
        <w:br/>
        <w:t>NOTES TO CONSOLIDATED FINANCIAL STATEMENTS</w:t>
        <w:br/>
        <w:t xml:space="preserve">(Stated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Aptorum Group Limited (the “Company”) and its subsidiaries. The Company and its subsidiaries are hereinafter collectively referred to as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formerly known as APTUS Holdings Limited and STRIKER ASIA OPPORTUNITIES FUND CORPORATION, is a company incorporated on September 13, 2010 under the laws of the Cayman Islands with limited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researches and develops life science and biopharmaceutical products within its wholly-owned subsidiary, Aptorum Therapeutics Limited, formerly known as APTUS Therapeutics Limited (“Aptorum Therapeutics”) and its indirect subsidiary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summarizes the list of the major subsidiaries consolidated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8"/>
        <w:gridCol w:w="60"/>
        <w:gridCol w:w="1243"/>
        <w:gridCol w:w="60"/>
        <w:gridCol w:w="935"/>
        <w:gridCol w:w="60"/>
        <w:gridCol w:w="1258"/>
        <w:gridCol w:w="60"/>
        <w:gridCol w:w="4161"/>
      </w:tblGrid>
      <w:tr>
        <w:trPr/>
        <w:tc>
          <w:tcPr>
            <w:tcW w:w="23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24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Incorporation </w:t>
              <w:br/>
              <w:t>date</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Ownership</w:t>
            </w:r>
          </w:p>
        </w:tc>
        <w:tc>
          <w:tcPr>
            <w:tcW w:w="60" w:type="dxa"/>
            <w:tcBorders/>
            <w:tcMar>
              <w:bottom w:w="0" w:type="dxa"/>
            </w:tcMar>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Place of </w:t>
              <w:br/>
              <w:t>incorporation</w:t>
            </w:r>
          </w:p>
        </w:tc>
        <w:tc>
          <w:tcPr>
            <w:tcW w:w="60" w:type="dxa"/>
            <w:tcBorders/>
            <w:tcMar>
              <w:bottom w:w="0" w:type="dxa"/>
            </w:tcMar>
            <w:vAlign w:val="center"/>
          </w:tcPr>
          <w:p>
            <w:pPr>
              <w:pStyle w:val="TableContents"/>
              <w:bidi w:val="0"/>
              <w:spacing w:before="0" w:after="283"/>
              <w:jc w:val="left"/>
              <w:rPr/>
            </w:pPr>
            <w:r>
              <w:rPr/>
              <w:t> </w:t>
            </w:r>
          </w:p>
        </w:tc>
        <w:tc>
          <w:tcPr>
            <w:tcW w:w="4161" w:type="dxa"/>
            <w:tcBorders>
              <w:bottom w:val="single" w:sz="12" w:space="0" w:color="000000"/>
            </w:tcBorders>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Principle activities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Therapeutics Limited (“ATL”)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r>
        <w:trPr/>
        <w:tc>
          <w:tcPr>
            <w:tcW w:w="23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APTUS MANAGEMENT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16,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6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of management services to its holding company and fellow subsidiaries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Paths Innovations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holding company</w:t>
            </w:r>
          </w:p>
        </w:tc>
      </w:tr>
      <w:tr>
        <w:trPr/>
        <w:tc>
          <w:tcPr>
            <w:tcW w:w="23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Paths Diagnostics Pte.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5,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6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Acticule Life Sciences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bidi w:val="0"/>
        <w:spacing w:before="0" w:after="0"/>
        <w:ind w:left="960" w:right="0" w:hanging="48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other available sources of financing from banks and other financial institutions or private lender; and</w:t>
            </w:r>
          </w:p>
        </w:tc>
      </w:tr>
    </w:tbl>
    <w:p>
      <w:pPr>
        <w:pStyle w:val="TextBody"/>
        <w:bidi w:val="0"/>
        <w:spacing w:before="0" w:after="0"/>
        <w:ind w:left="960" w:right="0" w:hanging="48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equity financing.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presentation and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 and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consists of cash on hand, bank deposits and time deposits with an original maturity of three months or less at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 and amounts due from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investments,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Non-marketable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 —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fair value hierarchy prioritizes the inputs utilized in measuring fair value as follows: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applies to assets or liabilities for which there are quoted prices in active markets for identical assets or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applies to assets or liabilities for which there are unobservable inputs to the valuation methodology that are significant to the measurement of the fair value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2000"/>
        <w:gridCol w:w="60"/>
        <w:gridCol w:w="489"/>
        <w:gridCol w:w="910"/>
        <w:gridCol w:w="107"/>
        <w:gridCol w:w="107"/>
        <w:gridCol w:w="410"/>
        <w:gridCol w:w="764"/>
        <w:gridCol w:w="107"/>
        <w:gridCol w:w="107"/>
        <w:gridCol w:w="250"/>
        <w:gridCol w:w="1430"/>
        <w:gridCol w:w="107"/>
        <w:gridCol w:w="107"/>
        <w:gridCol w:w="250"/>
        <w:gridCol w:w="1430"/>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 at the Reporting Date using</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Quoted price </w:t>
              <w:br/>
              <w:t xml:space="preserve">in active </w:t>
              <w:br/>
              <w:t xml:space="preserve">markets for </w:t>
              <w:br/>
              <w:t xml:space="preserve">identical </w:t>
              <w:br/>
              <w:t xml:space="preserve">assets </w:t>
              <w:br/>
              <w:t>Level 1</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other </w:t>
              <w:br/>
              <w:t xml:space="preserve">observable </w:t>
              <w:br/>
              <w:t xml:space="preserve">inputs </w:t>
              <w:br/>
              <w:t>Level 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unobservable </w:t>
              <w:br/>
              <w:t xml:space="preserve">inputs </w:t>
              <w:br/>
              <w:t>Level 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48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is provided using the straight-line method over their estimated useful lives:</w:t>
      </w:r>
    </w:p>
    <w:p>
      <w:pPr>
        <w:pStyle w:val="TextBody"/>
        <w:bidi w:val="0"/>
        <w:spacing w:before="0" w:after="0"/>
        <w:ind w:left="0" w:right="0" w:firstLine="36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4955"/>
        <w:gridCol w:w="60"/>
        <w:gridCol w:w="4415"/>
      </w:tblGrid>
      <w:tr>
        <w:trPr/>
        <w:tc>
          <w:tcPr>
            <w:tcW w:w="495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3 years</w:t>
            </w:r>
          </w:p>
        </w:tc>
      </w:tr>
      <w:tr>
        <w:trPr/>
        <w:tc>
          <w:tcPr>
            <w:tcW w:w="4955" w:type="dxa"/>
            <w:tcBorders/>
            <w:shd w:fill="FFFFFF" w:val="clear"/>
            <w:vAlign w:val="center"/>
          </w:tcPr>
          <w:p>
            <w:pPr>
              <w:pStyle w:val="TableContents"/>
              <w:bidi w:val="0"/>
              <w:spacing w:before="0" w:after="283"/>
              <w:jc w:val="both"/>
              <w:rPr/>
            </w:pPr>
            <w:r>
              <w:rPr/>
              <w:t>Furniture, fixture, and office and medical equipment</w:t>
            </w:r>
          </w:p>
        </w:tc>
        <w:tc>
          <w:tcPr>
            <w:tcW w:w="6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center"/>
              <w:rPr/>
            </w:pPr>
            <w:r>
              <w:rPr/>
              <w:t>5 years</w:t>
            </w:r>
          </w:p>
        </w:tc>
      </w:tr>
      <w:tr>
        <w:trPr/>
        <w:tc>
          <w:tcPr>
            <w:tcW w:w="495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Shorter of the remaining lease terms or 5 years</w:t>
            </w:r>
          </w:p>
        </w:tc>
      </w:tr>
      <w:tr>
        <w:trPr/>
        <w:tc>
          <w:tcPr>
            <w:tcW w:w="4955" w:type="dxa"/>
            <w:tcBorders/>
            <w:shd w:fill="FFFFFF" w:val="clear"/>
            <w:vAlign w:val="center"/>
          </w:tcPr>
          <w:p>
            <w:pPr>
              <w:pStyle w:val="TableContents"/>
              <w:bidi w:val="0"/>
              <w:spacing w:before="0" w:after="283"/>
              <w:jc w:val="both"/>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center"/>
              <w:rPr/>
            </w:pPr>
            <w:r>
              <w:rPr/>
              <w:t>5 years</w:t>
            </w:r>
          </w:p>
        </w:tc>
      </w:tr>
      <w:tr>
        <w:trPr/>
        <w:tc>
          <w:tcPr>
            <w:tcW w:w="4955" w:type="dxa"/>
            <w:tcBorders/>
            <w:shd w:fill="CCEEFF" w:val="clear"/>
            <w:vAlign w:val="center"/>
          </w:tcPr>
          <w:p>
            <w:pPr>
              <w:pStyle w:val="TableContents"/>
              <w:bidi w:val="0"/>
              <w:spacing w:before="0" w:after="283"/>
              <w:jc w:val="both"/>
              <w:rPr/>
            </w:pPr>
            <w:r>
              <w:rPr/>
              <w:t>Motor vehicle</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5 years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sale or disposal, the applicable amounts of asset cost and accumulated depreciation are removed from the accounts and the net amount less proceeds from disposal is charged or credited to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intangible assets mainly consist of computer software and is amortized over its useful life. The estimated useful life is generally 5 years. The Group will reassess the remaining useful life on annual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and accounts for conversion options embedded in convertible notes in accordance with ASC 815 “Derivatives and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not to recognize right-of-use assets or lease liabilities for leases with an initial term of 12 months or less and the Group recognizes lease expense for these leases on a straight-line basis over the lease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 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healthcare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healthcare services rendered represents cost in relation to the medical services provided including the compensation of the physicians, cost of pharmaceutical supplies and medicine and write-down of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Subsidies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or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long-lived assets are substantially all located in Hong Kong and substantially all of the Group’s revenues are derived from within Hong Kong. Therefore,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which potentially subject the Group to concentrations of credit risk consist principally of bank deposits and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takes on exposure to credit risk on cash balances majority held with HSBC for the purposes of payments of Group expenses. The risk of default is considered minimal as the Group considers HSBC is well established with high credit 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standards which have not yet been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believe other recently issued but not yet effective accounting standards, if currently adopted, would have a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LONG-TERM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Group’s long-term investment consists of non-marketable investments with carrying value of $15,098,846 and equity method investment at fair value option with carrying value of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Non-marketable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carrying value of the non-marketable investments held as of December 31, 2025 and 2024 including cumulative unrealized upward adjustments and impairment made to the initial cost basis of the investments:</w:t>
      </w:r>
    </w:p>
    <w:p>
      <w:pPr>
        <w:pStyle w:val="TextBody"/>
        <w:bidi w:val="0"/>
        <w:spacing w:before="0" w:after="0"/>
        <w:ind w:left="0" w:right="0" w:firstLine="360"/>
        <w:jc w:val="both"/>
        <w:rPr>
          <w:caps w:val="false"/>
          <w:smallCaps w:val="false"/>
        </w:rPr>
      </w:pPr>
      <w:r>
        <w:rPr>
          <w:caps w:val="false"/>
          <w:smallCaps w:val="false"/>
        </w:rPr>
        <w:t> </w:t>
      </w:r>
    </w:p>
    <w:tbl>
      <w:tblPr>
        <w:tblW w:w="12030" w:type="dxa"/>
        <w:jc w:val="left"/>
        <w:tblInd w:w="0" w:type="dxa"/>
        <w:tblLayout w:type="fixed"/>
        <w:tblCellMar>
          <w:top w:w="0" w:type="dxa"/>
          <w:left w:w="0" w:type="dxa"/>
          <w:bottom w:w="0" w:type="dxa"/>
          <w:right w:w="0" w:type="dxa"/>
        </w:tblCellMar>
      </w:tblPr>
      <w:tblGrid>
        <w:gridCol w:w="1295"/>
        <w:gridCol w:w="60"/>
        <w:gridCol w:w="140"/>
        <w:gridCol w:w="980"/>
        <w:gridCol w:w="60"/>
        <w:gridCol w:w="60"/>
        <w:gridCol w:w="141"/>
        <w:gridCol w:w="1109"/>
        <w:gridCol w:w="60"/>
        <w:gridCol w:w="60"/>
        <w:gridCol w:w="144"/>
        <w:gridCol w:w="1091"/>
        <w:gridCol w:w="95"/>
        <w:gridCol w:w="60"/>
        <w:gridCol w:w="140"/>
        <w:gridCol w:w="1100"/>
        <w:gridCol w:w="60"/>
        <w:gridCol w:w="60"/>
        <w:gridCol w:w="140"/>
        <w:gridCol w:w="980"/>
        <w:gridCol w:w="60"/>
        <w:gridCol w:w="60"/>
        <w:gridCol w:w="141"/>
        <w:gridCol w:w="1109"/>
        <w:gridCol w:w="60"/>
        <w:gridCol w:w="60"/>
        <w:gridCol w:w="144"/>
        <w:gridCol w:w="1091"/>
        <w:gridCol w:w="95"/>
        <w:gridCol w:w="60"/>
        <w:gridCol w:w="140"/>
        <w:gridCol w:w="1100"/>
        <w:gridCol w:w="75"/>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B</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Investment 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5"/>
        <w:gridCol w:w="60"/>
        <w:gridCol w:w="506"/>
        <w:gridCol w:w="943"/>
        <w:gridCol w:w="60"/>
        <w:gridCol w:w="60"/>
        <w:gridCol w:w="168"/>
        <w:gridCol w:w="1281"/>
        <w:gridCol w:w="95"/>
        <w:gridCol w:w="60"/>
        <w:gridCol w:w="180"/>
        <w:gridCol w:w="1269"/>
        <w:gridCol w:w="78"/>
      </w:tblGrid>
      <w:tr>
        <w:trPr/>
        <w:tc>
          <w:tcPr>
            <w:tcW w:w="5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78" w:type="dxa"/>
            <w:tcBorders/>
            <w:vAlign w:val="center"/>
          </w:tcPr>
          <w:p>
            <w:pPr>
              <w:pStyle w:val="TableContents"/>
              <w:bidi w:val="0"/>
              <w:spacing w:before="0" w:after="283"/>
              <w:jc w:val="left"/>
              <w:rPr/>
            </w:pPr>
            <w:r>
              <w:rPr/>
              <w:t> </w:t>
            </w:r>
          </w:p>
        </w:tc>
      </w:tr>
      <w:tr>
        <w:trPr/>
        <w:tc>
          <w:tcPr>
            <w:tcW w:w="5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Upward adjustments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6,431,088</w:t>
            </w:r>
          </w:p>
        </w:tc>
        <w:tc>
          <w:tcPr>
            <w:tcW w:w="78" w:type="dxa"/>
            <w:tcBorders/>
            <w:shd w:fill="CCEEFF" w:val="clear"/>
            <w:vAlign w:val="center"/>
          </w:tcPr>
          <w:p>
            <w:pPr>
              <w:pStyle w:val="TableContents"/>
              <w:bidi w:val="0"/>
              <w:spacing w:before="0" w:after="283"/>
              <w:jc w:val="left"/>
              <w:rPr/>
            </w:pPr>
            <w:r>
              <w:rPr/>
              <w:t> </w:t>
            </w:r>
          </w:p>
        </w:tc>
      </w:tr>
      <w:tr>
        <w:trPr/>
        <w:tc>
          <w:tcPr>
            <w:tcW w:w="5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5445" w:type="dxa"/>
            <w:tcBorders/>
            <w:shd w:fill="CCEEFF" w:val="clear"/>
            <w:vAlign w:val="center"/>
          </w:tcPr>
          <w:p>
            <w:pPr>
              <w:pStyle w:val="TableContents"/>
              <w:bidi w:val="0"/>
              <w:spacing w:before="0" w:after="283"/>
              <w:jc w:val="left"/>
              <w:rPr/>
            </w:pPr>
            <w:r>
              <w:rPr/>
              <w:t>Total unrealized (loss) gain from fair value change of non-marketable investments, net</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6,431,088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LONG-TERM INVESTMENT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this investment was pledged for a convertible note issued to a related party (Note 15).</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283"/>
              <w:jc w:val="both"/>
              <w:rPr/>
            </w:pPr>
            <w:r>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sell or transfer any non-marketable investments or record any realized gains or losses for the non-marketable investments measured at fair value on a non-recurring basis during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method investment,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the Group made a decision to streamline its operations by terminating clinic services and suspending non-lead R&amp;D projects. No revenue was generated for the year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all revenue came from provision of healthcare services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RECEIVABLES AND PREPAYMENTS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and prepayments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1820"/>
        <w:gridCol w:w="60"/>
        <w:gridCol w:w="218"/>
        <w:gridCol w:w="1256"/>
        <w:gridCol w:w="60"/>
        <w:gridCol w:w="60"/>
        <w:gridCol w:w="251"/>
        <w:gridCol w:w="1223"/>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17,794</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Prepaid service fee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44,810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50,538</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Rental deposits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4,206</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4,545</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Other deposits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5,510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8,233</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139,633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85,316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considered certain other receivables and prepayments were not recoverable and recorded write-off of other receivables and prepayments of $nil, $45,677 and $62,369,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8158" w:type="dxa"/>
        <w:jc w:val="left"/>
        <w:tblInd w:w="0" w:type="dxa"/>
        <w:tblLayout w:type="fixed"/>
        <w:tblCellMar>
          <w:top w:w="0" w:type="dxa"/>
          <w:left w:w="0" w:type="dxa"/>
          <w:bottom w:w="0" w:type="dxa"/>
          <w:right w:w="0" w:type="dxa"/>
        </w:tblCellMar>
      </w:tblPr>
      <w:tblGrid>
        <w:gridCol w:w="4955"/>
        <w:gridCol w:w="60"/>
        <w:gridCol w:w="183"/>
        <w:gridCol w:w="1291"/>
        <w:gridCol w:w="60"/>
        <w:gridCol w:w="60"/>
        <w:gridCol w:w="183"/>
        <w:gridCol w:w="1291"/>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69,291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69,291</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Furniture, fixture, and office and medical equipment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32,435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32,435</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108,187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108,187</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4,335,722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4,335,722</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Motor vehicle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4,784,728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4,784,728</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property, plant and equipment amounted to $nil, $235,827 and $1,041,234 for the years ended December 31, 2025, 2024 and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no impairment loss was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INTANGIBLE ASSETS, NET</w:t>
      </w:r>
    </w:p>
    <w:p>
      <w:pPr>
        <w:pStyle w:val="TextBody"/>
        <w:bidi w:val="0"/>
        <w:spacing w:before="0" w:after="0"/>
        <w:ind w:left="0" w:right="0" w:hanging="0"/>
        <w:jc w:val="both"/>
        <w:rPr>
          <w:caps w:val="false"/>
          <w:smallCaps w:val="false"/>
        </w:rPr>
      </w:pPr>
      <w:r>
        <w:rPr>
          <w:caps w:val="false"/>
          <w:smallCaps w:val="false"/>
        </w:rPr>
        <w:t> </w:t>
      </w:r>
    </w:p>
    <w:tbl>
      <w:tblPr>
        <w:tblW w:w="6208" w:type="dxa"/>
        <w:jc w:val="left"/>
        <w:tblInd w:w="0" w:type="dxa"/>
        <w:tblLayout w:type="fixed"/>
        <w:tblCellMar>
          <w:top w:w="0" w:type="dxa"/>
          <w:left w:w="0" w:type="dxa"/>
          <w:bottom w:w="0" w:type="dxa"/>
          <w:right w:w="0" w:type="dxa"/>
        </w:tblCellMar>
      </w:tblPr>
      <w:tblGrid>
        <w:gridCol w:w="3005"/>
        <w:gridCol w:w="60"/>
        <w:gridCol w:w="218"/>
        <w:gridCol w:w="1256"/>
        <w:gridCol w:w="60"/>
        <w:gridCol w:w="60"/>
        <w:gridCol w:w="218"/>
        <w:gridCol w:w="1256"/>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Gross carrying amount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Group terminated two of the licenses. For the year ended December 31, 2024, the Group terminated four of the licenses. For the year ended December 31, 2025, the Group terminated 5 of the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expect any amortization expense related to its finite-lived intangible assets for the next five years and thereafter to be as follows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LONG-TERM DEPOSITS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deposits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475"/>
        <w:gridCol w:w="60"/>
        <w:gridCol w:w="515"/>
        <w:gridCol w:w="959"/>
        <w:gridCol w:w="60"/>
        <w:gridCol w:w="60"/>
        <w:gridCol w:w="251"/>
        <w:gridCol w:w="1223"/>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Rental deposits</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71,823</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71,823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ACCOUNTS PAYABLE AND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7498" w:type="dxa"/>
        <w:jc w:val="left"/>
        <w:tblInd w:w="0" w:type="dxa"/>
        <w:tblLayout w:type="fixed"/>
        <w:tblCellMar>
          <w:top w:w="0" w:type="dxa"/>
          <w:left w:w="0" w:type="dxa"/>
          <w:bottom w:w="0" w:type="dxa"/>
          <w:right w:w="0" w:type="dxa"/>
        </w:tblCellMar>
      </w:tblPr>
      <w:tblGrid>
        <w:gridCol w:w="4295"/>
        <w:gridCol w:w="60"/>
        <w:gridCol w:w="183"/>
        <w:gridCol w:w="1291"/>
        <w:gridCol w:w="60"/>
        <w:gridCol w:w="60"/>
        <w:gridCol w:w="218"/>
        <w:gridCol w:w="1256"/>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Research and development expenses payable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830,189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778,205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Professional fees payable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185,247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127,031</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56,279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13,375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1,071,715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918,611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file tax returns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under the current laws of the Cayman Islands, the Company and its subsidiaries in the Cayman Islands are not subject to taxes on their income and capital gains.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before income tax expense is attributable to the following geographic locations:</w:t>
      </w:r>
    </w:p>
    <w:p>
      <w:pPr>
        <w:pStyle w:val="TextBody"/>
        <w:bidi w:val="0"/>
        <w:spacing w:before="0" w:after="0"/>
        <w:ind w:left="0" w:right="0" w:firstLine="360"/>
        <w:jc w:val="both"/>
        <w:rPr>
          <w:caps w:val="false"/>
          <w:smallCaps w:val="false"/>
        </w:rPr>
      </w:pPr>
      <w:r>
        <w:rPr>
          <w:caps w:val="false"/>
          <w:smallCaps w:val="false"/>
        </w:rPr>
        <w:t> </w:t>
      </w:r>
    </w:p>
    <w:tbl>
      <w:tblPr>
        <w:tblW w:w="7967" w:type="dxa"/>
        <w:jc w:val="left"/>
        <w:tblInd w:w="0" w:type="dxa"/>
        <w:tblLayout w:type="fixed"/>
        <w:tblCellMar>
          <w:top w:w="0" w:type="dxa"/>
          <w:left w:w="0" w:type="dxa"/>
          <w:bottom w:w="0" w:type="dxa"/>
          <w:right w:w="0" w:type="dxa"/>
        </w:tblCellMar>
      </w:tblPr>
      <w:tblGrid>
        <w:gridCol w:w="3065"/>
        <w:gridCol w:w="60"/>
        <w:gridCol w:w="171"/>
        <w:gridCol w:w="1303"/>
        <w:gridCol w:w="95"/>
        <w:gridCol w:w="60"/>
        <w:gridCol w:w="171"/>
        <w:gridCol w:w="1303"/>
        <w:gridCol w:w="95"/>
        <w:gridCol w:w="60"/>
        <w:gridCol w:w="172"/>
        <w:gridCol w:w="1302"/>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(1,409,614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(3,944,692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(1,297,897</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111,972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(252,611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(2,956,296</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Other jurisdictions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(78,788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39,566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(86,782</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(4,157,737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(4,340,975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2024 and 2023, there was no current income tax expense and deferred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income taxes expenses computed at the Hong Kong statutory tax rate applicable to income tax expense is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4"/>
        <w:gridCol w:w="60"/>
        <w:gridCol w:w="165"/>
        <w:gridCol w:w="1258"/>
        <w:gridCol w:w="215"/>
        <w:gridCol w:w="60"/>
        <w:gridCol w:w="60"/>
        <w:gridCol w:w="515"/>
        <w:gridCol w:w="227"/>
        <w:gridCol w:w="60"/>
        <w:gridCol w:w="165"/>
        <w:gridCol w:w="1258"/>
        <w:gridCol w:w="215"/>
        <w:gridCol w:w="60"/>
        <w:gridCol w:w="60"/>
        <w:gridCol w:w="515"/>
        <w:gridCol w:w="227"/>
        <w:gridCol w:w="60"/>
        <w:gridCol w:w="165"/>
        <w:gridCol w:w="1258"/>
        <w:gridCol w:w="215"/>
        <w:gridCol w:w="60"/>
        <w:gridCol w:w="60"/>
        <w:gridCol w:w="515"/>
        <w:gridCol w:w="248"/>
      </w:tblGrid>
      <w:tr>
        <w:trPr/>
        <w:tc>
          <w:tcPr>
            <w:tcW w:w="25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Net loss before tax</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(1,376,430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(4,157,737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(4,340,975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Hongkong statutory income tax rate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ind w:left="0" w:right="0" w:hanging="180"/>
              <w:jc w:val="left"/>
              <w:rPr/>
            </w:pPr>
            <w:r>
              <w:rPr/>
              <w:t> </w:t>
            </w:r>
          </w:p>
        </w:tc>
      </w:tr>
      <w:tr>
        <w:trPr/>
        <w:tc>
          <w:tcPr>
            <w:tcW w:w="2504" w:type="dxa"/>
            <w:tcBorders/>
            <w:shd w:fill="CCEEFF" w:val="clear"/>
            <w:vAlign w:val="center"/>
          </w:tcPr>
          <w:p>
            <w:pPr>
              <w:pStyle w:val="TableContents"/>
              <w:bidi w:val="0"/>
              <w:spacing w:before="0" w:after="283"/>
              <w:jc w:val="left"/>
              <w:rPr/>
            </w:pPr>
            <w:r>
              <w:rPr/>
              <w:t>Provision for income tax benefit at Hong Kong statutory income tax rate (16.5%)</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(227,110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(686,027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(716,261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Domestic tax effects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Non-taxable interest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(13,907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(5,477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(1,071,774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24.7</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98,704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(2.3</w:t>
            </w:r>
          </w:p>
        </w:tc>
        <w:tc>
          <w:tcPr>
            <w:tcW w:w="248" w:type="dxa"/>
            <w:tcBorders/>
            <w:shd w:fill="FFFFFF" w:val="clear"/>
            <w:vAlign w:val="center"/>
          </w:tcPr>
          <w:p>
            <w:pPr>
              <w:pStyle w:val="TableContents"/>
              <w:bidi w:val="0"/>
              <w:spacing w:before="0" w:after="283"/>
              <w:jc w:val="left"/>
              <w:rPr/>
            </w:pPr>
            <w:r>
              <w:rPr/>
              <w:t>)%</w:t>
            </w:r>
          </w:p>
        </w:tc>
      </w:tr>
      <w:tr>
        <w:trPr/>
        <w:tc>
          <w:tcPr>
            <w:tcW w:w="2504"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223,918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(16.3</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702,123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(16.9</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1,705,603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(39.3</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Cayman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ind w:left="0" w:right="0" w:hanging="180"/>
              <w:jc w:val="left"/>
              <w:rPr/>
            </w:pPr>
            <w:r>
              <w:rPr/>
              <w:t> </w:t>
            </w:r>
          </w:p>
        </w:tc>
      </w:tr>
      <w:tr>
        <w:trPr/>
        <w:tc>
          <w:tcPr>
            <w:tcW w:w="2504" w:type="dxa"/>
            <w:tcBorders/>
            <w:shd w:fill="FFFFFF" w:val="clear"/>
            <w:vAlign w:val="center"/>
          </w:tcPr>
          <w:p>
            <w:pPr>
              <w:pStyle w:val="TableContents"/>
              <w:bidi w:val="0"/>
              <w:spacing w:before="0" w:after="283"/>
              <w:jc w:val="left"/>
              <w:rPr/>
            </w:pPr>
            <w:r>
              <w:rPr/>
              <w:t>– </w:t>
            </w:r>
            <w:r>
              <w:rPr/>
              <w:t>Statutory tax rate di&amp;fflig;erence between Cayman and Hong Kong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16,128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(1.2</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(9,191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0.2</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(5,078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48" w:type="dxa"/>
            <w:tcBorders/>
            <w:shd w:fill="FFFFFF" w:val="clear"/>
            <w:vAlign w:val="center"/>
          </w:tcPr>
          <w:p>
            <w:pPr>
              <w:pStyle w:val="TableContents"/>
              <w:bidi w:val="0"/>
              <w:spacing w:before="0" w:after="283"/>
              <w:jc w:val="left"/>
              <w:rPr/>
            </w:pPr>
            <w:r>
              <w:rPr/>
              <w:t>%</w:t>
            </w:r>
          </w:p>
        </w:tc>
      </w:tr>
      <w:tr>
        <w:trPr/>
        <w:tc>
          <w:tcPr>
            <w:tcW w:w="2504" w:type="dxa"/>
            <w:tcBorders/>
            <w:shd w:fill="CCEEFF" w:val="clear"/>
            <w:vAlign w:val="center"/>
          </w:tcPr>
          <w:p>
            <w:pPr>
              <w:pStyle w:val="TableContents"/>
              <w:bidi w:val="0"/>
              <w:spacing w:before="0" w:after="283"/>
              <w:jc w:val="left"/>
              <w:rPr/>
            </w:pPr>
            <w:r>
              <w:rPr/>
              <w:t>Other foreign jurisdictions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917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(1,623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(11,185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0.3</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Effective 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by jurisdiction is as follows:</w:t>
      </w:r>
    </w:p>
    <w:p>
      <w:pPr>
        <w:pStyle w:val="TextBody"/>
        <w:bidi w:val="0"/>
        <w:spacing w:before="0" w:after="0"/>
        <w:ind w:left="0" w:right="0" w:firstLine="360"/>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285"/>
        <w:gridCol w:w="60"/>
        <w:gridCol w:w="140"/>
        <w:gridCol w:w="1220"/>
        <w:gridCol w:w="60"/>
        <w:gridCol w:w="60"/>
        <w:gridCol w:w="140"/>
        <w:gridCol w:w="1220"/>
        <w:gridCol w:w="60"/>
        <w:gridCol w:w="60"/>
        <w:gridCol w:w="60"/>
        <w:gridCol w:w="1220"/>
        <w:gridCol w:w="75"/>
      </w:tblGrid>
      <w:tr>
        <w:trPr/>
        <w:tc>
          <w:tcPr>
            <w:tcW w:w="22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2023</w:t>
            </w:r>
          </w:p>
        </w:tc>
        <w:tc>
          <w:tcPr>
            <w:tcW w:w="75" w:type="dxa"/>
            <w:tcBorders/>
            <w:shd w:fill="FFFFFF" w:val="clear"/>
            <w:vAlign w:val="center"/>
          </w:tcPr>
          <w:p>
            <w:pPr>
              <w:pStyle w:val="TableContents"/>
              <w:bidi w:val="0"/>
              <w:spacing w:before="0" w:after="283"/>
              <w:jc w:val="center"/>
              <w:rPr/>
            </w:pPr>
            <w:r>
              <w:rPr/>
              <w:t> </w:t>
            </w:r>
          </w:p>
        </w:tc>
      </w:tr>
      <w:tr>
        <w:trPr/>
        <w:tc>
          <w:tcPr>
            <w:tcW w:w="228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Other jurisdictions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Total income taxes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tax asset,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p>
      <w:pPr>
        <w:pStyle w:val="TextBody"/>
        <w:bidi w:val="0"/>
        <w:spacing w:before="0" w:after="0"/>
        <w:ind w:left="0" w:right="0" w:firstLine="360"/>
        <w:jc w:val="both"/>
        <w:rPr>
          <w:caps w:val="false"/>
          <w:smallCaps w:val="false"/>
        </w:rPr>
      </w:pPr>
      <w:r>
        <w:rPr>
          <w:caps w:val="false"/>
          <w:smallCaps w:val="false"/>
        </w:rPr>
        <w:t> </w:t>
      </w:r>
    </w:p>
    <w:tbl>
      <w:tblPr>
        <w:tblW w:w="7613" w:type="dxa"/>
        <w:jc w:val="left"/>
        <w:tblInd w:w="0" w:type="dxa"/>
        <w:tblLayout w:type="fixed"/>
        <w:tblCellMar>
          <w:top w:w="0" w:type="dxa"/>
          <w:left w:w="0" w:type="dxa"/>
          <w:bottom w:w="0" w:type="dxa"/>
          <w:right w:w="0" w:type="dxa"/>
        </w:tblCellMar>
      </w:tblPr>
      <w:tblGrid>
        <w:gridCol w:w="4340"/>
        <w:gridCol w:w="60"/>
        <w:gridCol w:w="156"/>
        <w:gridCol w:w="1318"/>
        <w:gridCol w:w="95"/>
        <w:gridCol w:w="60"/>
        <w:gridCol w:w="156"/>
        <w:gridCol w:w="1318"/>
        <w:gridCol w:w="11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Deferred tax asset: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Net operating losses carryforwards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15,365,786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15,107,318</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128,896</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Impairment loss on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537,830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537,830</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Total Deferred tax asset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15,990,459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15,774,044</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(15,990,459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(15,774,044</w:t>
            </w:r>
          </w:p>
        </w:tc>
        <w:tc>
          <w:tcPr>
            <w:tcW w:w="11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pPr>
            <w:r>
              <w:rPr/>
              <w:t>Deferred tax asset, net of valuation allowance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spacing w:before="0" w:after="0"/>
        <w:ind w:left="0" w:right="0" w:firstLine="360"/>
        <w:jc w:val="both"/>
        <w:rPr>
          <w:caps w:val="false"/>
          <w:smallCaps w:val="false"/>
        </w:rPr>
      </w:pPr>
      <w:r>
        <w:rPr>
          <w:caps w:val="false"/>
          <w:smallCaps w:val="false"/>
        </w:rPr>
        <w:t> </w:t>
      </w:r>
    </w:p>
    <w:tbl>
      <w:tblPr>
        <w:tblW w:w="7547" w:type="dxa"/>
        <w:jc w:val="left"/>
        <w:tblInd w:w="0" w:type="dxa"/>
        <w:tblLayout w:type="fixed"/>
        <w:tblCellMar>
          <w:top w:w="0" w:type="dxa"/>
          <w:left w:w="0" w:type="dxa"/>
          <w:bottom w:w="0" w:type="dxa"/>
          <w:right w:w="0" w:type="dxa"/>
        </w:tblCellMar>
      </w:tblPr>
      <w:tblGrid>
        <w:gridCol w:w="2645"/>
        <w:gridCol w:w="60"/>
        <w:gridCol w:w="165"/>
        <w:gridCol w:w="1309"/>
        <w:gridCol w:w="95"/>
        <w:gridCol w:w="60"/>
        <w:gridCol w:w="165"/>
        <w:gridCol w:w="1309"/>
        <w:gridCol w:w="95"/>
        <w:gridCol w:w="60"/>
        <w:gridCol w:w="76"/>
        <w:gridCol w:w="1398"/>
        <w:gridCol w:w="11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2023</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Balance as of January 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15,774,044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17,407,156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15,705,088</w:t>
            </w:r>
          </w:p>
        </w:tc>
        <w:tc>
          <w:tcPr>
            <w:tcW w:w="11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223,918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702,123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1,705,603</w:t>
            </w:r>
          </w:p>
        </w:tc>
        <w:tc>
          <w:tcPr>
            <w:tcW w:w="11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Disposal</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(2,335,235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12" w:space="0" w:color="000000"/>
            </w:tcBorders>
            <w:shd w:fill="CCEEFF" w:val="clear"/>
            <w:tcMar>
              <w:bottom w:w="28" w:type="dxa"/>
            </w:tcMar>
            <w:vAlign w:val="center"/>
          </w:tcPr>
          <w:p>
            <w:pPr>
              <w:pStyle w:val="TableContents"/>
              <w:bidi w:val="0"/>
              <w:spacing w:before="0" w:after="283"/>
              <w:jc w:val="right"/>
              <w:rPr/>
            </w:pPr>
            <w:r>
              <w:rPr/>
              <w:t>(3,535</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Balance as of December 31</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15,990,459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15,774,044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10" w:space="0" w:color="000000"/>
            </w:tcBorders>
            <w:shd w:fill="FFFFFF" w:val="clear"/>
            <w:tcMar>
              <w:bottom w:w="28" w:type="dxa"/>
            </w:tcMar>
            <w:vAlign w:val="center"/>
          </w:tcPr>
          <w:p>
            <w:pPr>
              <w:pStyle w:val="TableContents"/>
              <w:bidi w:val="0"/>
              <w:spacing w:before="0" w:after="283"/>
              <w:jc w:val="right"/>
              <w:rPr/>
            </w:pPr>
            <w:r>
              <w:rPr/>
              <w:t>17,407,156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PARTY BALANCES AND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a director and related parties to which the Group has transactions with: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Ian Huen, the Chief Executive Officer and Executive Director of the Group since November 2023. He was a Non-executive Director from June 2022 to November 2023. Before June 2022, he was the Chief Executive Officer and Executive Director;</w:t>
            </w:r>
          </w:p>
        </w:tc>
      </w:tr>
    </w:tbl>
    <w:p>
      <w:pPr>
        <w:pStyle w:val="TextBody"/>
        <w:bidi w:val="0"/>
        <w:spacing w:before="0" w:after="0"/>
        <w:ind w:left="960" w:right="0" w:hanging="48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9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765" w:type="dxa"/>
            <w:tcBorders/>
            <w:vAlign w:val="center"/>
          </w:tcPr>
          <w:p>
            <w:pPr>
              <w:pStyle w:val="TableContents"/>
              <w:bidi w:val="0"/>
              <w:spacing w:before="0" w:after="283"/>
              <w:jc w:val="both"/>
              <w:rPr/>
            </w:pPr>
            <w:r>
              <w:rPr/>
              <w:t>Jurchen Investment Corporation, the holding company and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(c)</w:t>
            </w:r>
          </w:p>
        </w:tc>
        <w:tc>
          <w:tcPr>
            <w:tcW w:w="9893" w:type="dxa"/>
            <w:tcBorders/>
            <w:vAlign w:val="center"/>
          </w:tcPr>
          <w:p>
            <w:pPr>
              <w:pStyle w:val="TableContents"/>
              <w:bidi w:val="0"/>
              <w:spacing w:before="0" w:after="283"/>
              <w:jc w:val="both"/>
              <w:rPr/>
            </w:pPr>
            <w:r>
              <w:rPr/>
              <w:t>CGY Investment Limited, an entity owns more than 10% voting interest of the Group before April 2024;</w:t>
            </w:r>
          </w:p>
        </w:tc>
      </w:tr>
    </w:tbl>
    <w:p>
      <w:pPr>
        <w:pStyle w:val="TextBody"/>
        <w:bidi w:val="0"/>
        <w:spacing w:before="0" w:after="0"/>
        <w:ind w:left="960" w:right="0" w:hanging="48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9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450" w:type="dxa"/>
            <w:tcBorders/>
            <w:vAlign w:val="center"/>
          </w:tcPr>
          <w:p>
            <w:pPr>
              <w:pStyle w:val="TableContents"/>
              <w:bidi w:val="0"/>
              <w:spacing w:before="0" w:after="283"/>
              <w:jc w:val="both"/>
              <w:rPr/>
            </w:pPr>
            <w:r>
              <w:rPr/>
              <w:t>Aeneas Group Limited,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760" w:type="dxa"/>
            <w:tcBorders/>
            <w:vAlign w:val="center"/>
          </w:tcPr>
          <w:p>
            <w:pPr>
              <w:pStyle w:val="TableContents"/>
              <w:bidi w:val="0"/>
              <w:spacing w:before="0" w:after="283"/>
              <w:jc w:val="both"/>
              <w:rPr/>
            </w:pPr>
            <w:r>
              <w:rPr/>
              <w:t>Aenco Technologies Ltd, an entity being 34.56% effectively owned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45"/>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6065" w:type="dxa"/>
            <w:tcBorders/>
            <w:vAlign w:val="center"/>
          </w:tcPr>
          <w:p>
            <w:pPr>
              <w:pStyle w:val="TableContents"/>
              <w:bidi w:val="0"/>
              <w:spacing w:before="0" w:after="283"/>
              <w:jc w:val="both"/>
              <w:rPr/>
            </w:pPr>
            <w:r>
              <w:rPr/>
              <w:t>Aeneas Management Limited,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6" w:type="dxa"/>
            <w:tcBorders/>
            <w:vAlign w:val="center"/>
          </w:tcPr>
          <w:p>
            <w:pPr>
              <w:pStyle w:val="TableContents"/>
              <w:bidi w:val="0"/>
              <w:spacing w:before="0" w:after="283"/>
              <w:jc w:val="both"/>
              <w:rPr/>
            </w:pPr>
            <w:r>
              <w:rPr/>
              <w:t>Libra Sciences Limited, an entity which was originally a wholly owned subsidiary of ATL. Since December 30, 2021, Libra has been turned into a related party to the Group due to the voting power owned by ATL is decreased to below 50% but more than 20%. (Note 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from related parties,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consisted of the following as of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3080"/>
        <w:gridCol w:w="60"/>
        <w:gridCol w:w="203"/>
        <w:gridCol w:w="1271"/>
        <w:gridCol w:w="95"/>
        <w:gridCol w:w="60"/>
        <w:gridCol w:w="203"/>
        <w:gridCol w:w="1271"/>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Libra Sciences Limited (Note b)</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522,192</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to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as of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4040"/>
        <w:gridCol w:w="60"/>
        <w:gridCol w:w="183"/>
        <w:gridCol w:w="1291"/>
        <w:gridCol w:w="60"/>
        <w:gridCol w:w="60"/>
        <w:gridCol w:w="183"/>
        <w:gridCol w:w="1291"/>
        <w:gridCol w:w="75"/>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both"/>
              <w:rPr>
                <w:b/>
              </w:rPr>
            </w:pPr>
            <w:r>
              <w:rPr>
                <w:b/>
              </w:rPr>
              <w:t>Current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Aeneas Group Limited (Note a)</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Ian Huen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464</w:t>
            </w:r>
          </w:p>
        </w:tc>
        <w:tc>
          <w:tcPr>
            <w:tcW w:w="7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79,644</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Convertible notes to a related party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Jurchen Investment Corporation (Note 15)</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3,238,500</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3,418,500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3,238,500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consisted of the following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4"/>
        <w:gridCol w:w="60"/>
        <w:gridCol w:w="214"/>
        <w:gridCol w:w="1235"/>
        <w:gridCol w:w="60"/>
        <w:gridCol w:w="60"/>
        <w:gridCol w:w="214"/>
        <w:gridCol w:w="1235"/>
        <w:gridCol w:w="60"/>
        <w:gridCol w:w="60"/>
        <w:gridCol w:w="180"/>
        <w:gridCol w:w="1270"/>
        <w:gridCol w:w="113"/>
      </w:tblGrid>
      <w:tr>
        <w:trPr/>
        <w:tc>
          <w:tcPr>
            <w:tcW w:w="5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3" w:type="dxa"/>
            <w:tcBorders/>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pPr>
            <w:r>
              <w:rPr/>
              <w:t>Loan from related parties (Note a)</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Aeneas Group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2,500,000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Issuance of Convertible Note to related parties (Note 15)</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Jurchen Investment Corporation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3,000,000</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Settlement of loan from a related party through issuance of Convertible Note (Note 15)</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Aeneas Group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3,000,000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Interest expenses (Note a and Note 15)</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Aeneas Group Limited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71,123</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Jurchen Investment Corporation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58,500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Aenco Technologies Ltd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(13,234</w:t>
            </w:r>
          </w:p>
        </w:tc>
        <w:tc>
          <w:tcPr>
            <w:tcW w:w="113" w:type="dxa"/>
            <w:tcBorders/>
            <w:shd w:fill="FFFFFF" w:val="clear"/>
            <w:vAlign w:val="center"/>
          </w:tcPr>
          <w:p>
            <w:pPr>
              <w:pStyle w:val="TableContents"/>
              <w:bidi w:val="0"/>
              <w:spacing w:before="0" w:after="283"/>
              <w:jc w:val="left"/>
              <w:rPr/>
            </w:pPr>
            <w:r>
              <w:rPr/>
              <w:t>)</w:t>
            </w:r>
          </w:p>
        </w:tc>
      </w:tr>
      <w:tr>
        <w:trPr/>
        <w:tc>
          <w:tcPr>
            <w:tcW w:w="54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Loan to related parties (Note b)</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Libra Sciences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92,459</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Loan repayment and interest received from a related party (Note b)</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Talem Medical Group Limited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611,641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7"/>
        <w:gridCol w:w="60"/>
        <w:gridCol w:w="508"/>
        <w:gridCol w:w="945"/>
        <w:gridCol w:w="60"/>
        <w:gridCol w:w="60"/>
        <w:gridCol w:w="508"/>
        <w:gridCol w:w="945"/>
        <w:gridCol w:w="60"/>
        <w:gridCol w:w="60"/>
        <w:gridCol w:w="215"/>
        <w:gridCol w:w="1238"/>
        <w:gridCol w:w="79"/>
      </w:tblGrid>
      <w:tr>
        <w:trPr/>
        <w:tc>
          <w:tcPr>
            <w:tcW w:w="5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79" w:type="dxa"/>
            <w:tcBorders/>
            <w:vAlign w:val="center"/>
          </w:tcPr>
          <w:p>
            <w:pPr>
              <w:pStyle w:val="TableContents"/>
              <w:bidi w:val="0"/>
              <w:spacing w:before="0" w:after="283"/>
              <w:jc w:val="left"/>
              <w:rPr/>
            </w:pPr>
            <w:r>
              <w:rPr/>
              <w:t> </w:t>
            </w:r>
          </w:p>
        </w:tc>
      </w:tr>
      <w:tr>
        <w:trPr/>
        <w:tc>
          <w:tcPr>
            <w:tcW w:w="5467" w:type="dxa"/>
            <w:tcBorders/>
            <w:vAlign w:val="center"/>
          </w:tcPr>
          <w:p>
            <w:pPr>
              <w:pStyle w:val="TableContents"/>
              <w:bidi w:val="0"/>
              <w:spacing w:before="0" w:after="283"/>
              <w:jc w:val="left"/>
              <w:rPr/>
            </w:pPr>
            <w:r>
              <w:rPr/>
              <w:t>Interest income (Note b)</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Talem Medical Group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4,637</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Libra Sciences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8,963</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Consultant, secondment, management and administrative services fees (Note c)</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CGY Investments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153,640</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ACC Medical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138,768</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Administrative management services (Note 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Libra Sciences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9,615</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Healthcare services income</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Aeneas Management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961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VARIABLE INTEREST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Mios was dissolved and ceased operation and it was deemed disposed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VARIABLE INTEREST ENTITY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year ended December 31, 2025 and 2024, there is no consolidated VIE and Libra is the only unconsolidated VIE. The unconsolidated asset and liability of VIE Libra is $61,873 and $691,253 respectively for both year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8"/>
        <w:gridCol w:w="60"/>
        <w:gridCol w:w="247"/>
        <w:gridCol w:w="1207"/>
        <w:gridCol w:w="215"/>
        <w:gridCol w:w="60"/>
        <w:gridCol w:w="215"/>
        <w:gridCol w:w="1240"/>
        <w:gridCol w:w="215"/>
        <w:gridCol w:w="60"/>
        <w:gridCol w:w="93"/>
        <w:gridCol w:w="1251"/>
        <w:gridCol w:w="234"/>
      </w:tblGrid>
      <w:tr>
        <w:trPr/>
        <w:tc>
          <w:tcPr>
            <w:tcW w:w="5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2023</w:t>
            </w:r>
          </w:p>
        </w:tc>
        <w:tc>
          <w:tcPr>
            <w:tcW w:w="234" w:type="dxa"/>
            <w:tcBorders/>
            <w:vAlign w:val="center"/>
          </w:tcPr>
          <w:p>
            <w:pPr>
              <w:pStyle w:val="TableContents"/>
              <w:bidi w:val="0"/>
              <w:spacing w:before="0" w:after="283"/>
              <w:jc w:val="left"/>
              <w:rPr/>
            </w:pPr>
            <w:r>
              <w:rPr/>
              <w:t> </w:t>
            </w:r>
          </w:p>
        </w:tc>
      </w:tr>
      <w:tr>
        <w:trPr/>
        <w:tc>
          <w:tcPr>
            <w:tcW w:w="5108" w:type="dxa"/>
            <w:tcBorders/>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50,520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252,345</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pPr>
            <w:r>
              <w:rPr/>
              <w:t>3,374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shd w:fill="FFFFFF" w:val="clear"/>
            <w:tcMar>
              <w:bottom w:w="28" w:type="dxa"/>
            </w:tcMar>
            <w:vAlign w:val="center"/>
          </w:tcPr>
          <w:p>
            <w:pPr>
              <w:pStyle w:val="TableContents"/>
              <w:bidi w:val="0"/>
              <w:spacing w:before="0" w:after="283"/>
              <w:jc w:val="right"/>
              <w:rPr/>
            </w:pPr>
            <w:r>
              <w:rPr/>
              <w:t>65,221</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0" w:type="dxa"/>
            <w:tcBorders>
              <w:bottom w:val="double" w:sz="10" w:space="0" w:color="000000"/>
            </w:tcBorders>
            <w:shd w:fill="CCEEFF" w:val="clear"/>
            <w:tcMar>
              <w:bottom w:w="28" w:type="dxa"/>
            </w:tcMar>
            <w:vAlign w:val="center"/>
          </w:tcPr>
          <w:p>
            <w:pPr>
              <w:pStyle w:val="TableContents"/>
              <w:bidi w:val="0"/>
              <w:spacing w:before="0" w:after="283"/>
              <w:jc w:val="right"/>
              <w:rPr/>
            </w:pPr>
            <w:r>
              <w:rPr/>
              <w:t>53,894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double" w:sz="10" w:space="0" w:color="000000"/>
            </w:tcBorders>
            <w:shd w:fill="CCEEFF" w:val="clear"/>
            <w:tcMar>
              <w:bottom w:w="28" w:type="dxa"/>
            </w:tcMar>
            <w:vAlign w:val="center"/>
          </w:tcPr>
          <w:p>
            <w:pPr>
              <w:pStyle w:val="TableContents"/>
              <w:bidi w:val="0"/>
              <w:spacing w:before="0" w:after="283"/>
              <w:jc w:val="right"/>
              <w:rPr/>
            </w:pPr>
            <w:r>
              <w:rPr/>
              <w:t>317,566</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Other information</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98,448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120,824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389,365</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Weighted-average remaining lease term – operating leases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 years</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Weighted-average discount rate – finance leases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w:t>
            </w:r>
          </w:p>
        </w:tc>
      </w:tr>
      <w:tr>
        <w:trPr/>
        <w:tc>
          <w:tcPr>
            <w:tcW w:w="5108"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8.0</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the Group did not recognize any impairment losses and loss on disposal of right-of-use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LEASE</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analysis of operating leases liabilities as of December 31, 2025 is as follows:</w:t>
      </w:r>
    </w:p>
    <w:p>
      <w:pPr>
        <w:pStyle w:val="TextBody"/>
        <w:bidi w:val="0"/>
        <w:spacing w:before="0" w:after="0"/>
        <w:ind w:left="0" w:right="0" w:firstLine="360"/>
        <w:jc w:val="both"/>
        <w:rPr>
          <w:caps w:val="false"/>
          <w:smallCaps w:val="false"/>
        </w:rPr>
      </w:pPr>
      <w:r>
        <w:rPr>
          <w:caps w:val="false"/>
          <w:smallCaps w:val="false"/>
        </w:rPr>
        <w:t> </w:t>
      </w:r>
    </w:p>
    <w:tbl>
      <w:tblPr>
        <w:tblW w:w="5759" w:type="dxa"/>
        <w:jc w:val="left"/>
        <w:tblInd w:w="0" w:type="dxa"/>
        <w:tblLayout w:type="fixed"/>
        <w:tblCellMar>
          <w:top w:w="0" w:type="dxa"/>
          <w:left w:w="0" w:type="dxa"/>
          <w:bottom w:w="0" w:type="dxa"/>
          <w:right w:w="0" w:type="dxa"/>
        </w:tblCellMar>
      </w:tblPr>
      <w:tblGrid>
        <w:gridCol w:w="4115"/>
        <w:gridCol w:w="60"/>
        <w:gridCol w:w="118"/>
        <w:gridCol w:w="1356"/>
        <w:gridCol w:w="11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Remaining periods ending December 31,</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24,573</w:t>
            </w:r>
          </w:p>
        </w:tc>
        <w:tc>
          <w:tcPr>
            <w:tcW w:w="11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Total future undiscounted cash flow</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24,573</w:t>
            </w:r>
          </w:p>
        </w:tc>
        <w:tc>
          <w:tcPr>
            <w:tcW w:w="11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Less: Discount on operating lease liabilities</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p>
        </w:tc>
      </w:tr>
      <w:tr>
        <w:trPr/>
        <w:tc>
          <w:tcPr>
            <w:tcW w:w="4115" w:type="dxa"/>
            <w:tcBorders/>
            <w:shd w:fill="FFFFFF" w:val="clear"/>
            <w:vAlign w:val="center"/>
          </w:tcPr>
          <w:p>
            <w:pPr>
              <w:pStyle w:val="TableContents"/>
              <w:bidi w:val="0"/>
              <w:spacing w:before="0" w:after="283"/>
              <w:jc w:val="left"/>
              <w:rPr/>
            </w:pPr>
            <w:r>
              <w:rPr/>
              <w:t>Present value of operating lease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double" w:sz="10" w:space="0" w:color="000000"/>
            </w:tcBorders>
            <w:shd w:fill="FFFFFF" w:val="clear"/>
            <w:tcMar>
              <w:bottom w:w="28" w:type="dxa"/>
            </w:tcMar>
            <w:vAlign w:val="center"/>
          </w:tcPr>
          <w:p>
            <w:pPr>
              <w:pStyle w:val="TableContents"/>
              <w:bidi w:val="0"/>
              <w:spacing w:before="0" w:after="283"/>
              <w:jc w:val="right"/>
              <w:rPr/>
            </w:pPr>
            <w:r>
              <w:rPr/>
              <w:t>24,428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also issued 65,770 fully vested Class A Ordinary Shares to certain employees and external consultants. The grant date fair value of each of the shares was $2.68 based on grant date quoted market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ORDINARY SHARES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Group issued 1,250,000 Class A Ordinary Shares to convertible note holders upon conversion (See Note 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and 2023, the Group issued 427,060 and 791 Class A Ordinary Shares to share option holders as a result of exercise of options,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Group issued 446,842 Class A Ordinary Shares to Class B Ordinary Shares holders upon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$2,000,000 gross proceeds, $996,000 was allocated to the liability-classified Investor Warrants at their fair value (see Note 20), with the residual $1,004,000 allocated to the equity-classified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option activity for the years ended December 31, 2025, 2024 and 2023 changes during the period are presented below:</w:t>
      </w:r>
    </w:p>
    <w:p>
      <w:pPr>
        <w:pStyle w:val="TextBody"/>
        <w:bidi w:val="0"/>
        <w:spacing w:before="0" w:after="0"/>
        <w:ind w:left="0" w:right="0" w:firstLine="360"/>
        <w:jc w:val="both"/>
        <w:rPr>
          <w:caps w:val="false"/>
          <w:smallCaps w:val="false"/>
        </w:rPr>
      </w:pPr>
      <w:r>
        <w:rPr>
          <w:caps w:val="false"/>
          <w:smallCaps w:val="false"/>
        </w:rPr>
        <w:t> </w:t>
      </w:r>
    </w:p>
    <w:tbl>
      <w:tblPr>
        <w:tblW w:w="8216" w:type="dxa"/>
        <w:jc w:val="left"/>
        <w:tblInd w:w="0" w:type="dxa"/>
        <w:tblLayout w:type="fixed"/>
        <w:tblCellMar>
          <w:top w:w="0" w:type="dxa"/>
          <w:left w:w="0" w:type="dxa"/>
          <w:bottom w:w="0" w:type="dxa"/>
          <w:right w:w="0" w:type="dxa"/>
        </w:tblCellMar>
      </w:tblPr>
      <w:tblGrid>
        <w:gridCol w:w="3185"/>
        <w:gridCol w:w="60"/>
        <w:gridCol w:w="61"/>
        <w:gridCol w:w="903"/>
        <w:gridCol w:w="95"/>
        <w:gridCol w:w="60"/>
        <w:gridCol w:w="101"/>
        <w:gridCol w:w="953"/>
        <w:gridCol w:w="60"/>
        <w:gridCol w:w="60"/>
        <w:gridCol w:w="130"/>
        <w:gridCol w:w="1224"/>
        <w:gridCol w:w="60"/>
        <w:gridCol w:w="60"/>
        <w:gridCol w:w="64"/>
        <w:gridCol w:w="1065"/>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 xml:space="preserve">share </w:t>
              <w:br/>
              <w:t>options</w:t>
            </w:r>
            <w:r>
              <w:rPr>
                <w:rFonts w:ascii="Times New Roman;Times;Serif" w:hAnsi="Times New Roman;Times;Serif"/>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Remaining </w:t>
              <w:br/>
              <w:t xml:space="preserve">contractual </w:t>
              <w:b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r>
          </w:p>
        </w:tc>
        <w:tc>
          <w:tcPr>
            <w:tcW w:w="7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Vested,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January 1, 2024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427,060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pPr>
            <w:r>
              <w:rPr/>
              <w:t>(427,060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1,436,963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272,126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21.54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403,820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20.90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Modified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(248,095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21.74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427,060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Exercisable, December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420,157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award is estimated on the date of grant using the Black-Scholes option pricing model under the following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Placement agent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NON-CONTROLLING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per share:</w:t>
      </w:r>
    </w:p>
    <w:p>
      <w:pPr>
        <w:pStyle w:val="TextBody"/>
        <w:bidi w:val="0"/>
        <w:spacing w:before="0" w:after="0"/>
        <w:ind w:left="0" w:right="0" w:firstLine="360"/>
        <w:jc w:val="both"/>
        <w:rPr>
          <w:caps w:val="false"/>
          <w:smallCaps w:val="false"/>
        </w:rPr>
      </w:pPr>
      <w:r>
        <w:rPr>
          <w:caps w:val="false"/>
          <w:smallCaps w:val="false"/>
        </w:rPr>
        <w:t> </w:t>
      </w:r>
    </w:p>
    <w:tbl>
      <w:tblPr>
        <w:tblW w:w="10097" w:type="dxa"/>
        <w:jc w:val="left"/>
        <w:tblInd w:w="0" w:type="dxa"/>
        <w:tblLayout w:type="fixed"/>
        <w:tblCellMar>
          <w:top w:w="0" w:type="dxa"/>
          <w:left w:w="0" w:type="dxa"/>
          <w:bottom w:w="0" w:type="dxa"/>
          <w:right w:w="0" w:type="dxa"/>
        </w:tblCellMar>
      </w:tblPr>
      <w:tblGrid>
        <w:gridCol w:w="5195"/>
        <w:gridCol w:w="60"/>
        <w:gridCol w:w="171"/>
        <w:gridCol w:w="1303"/>
        <w:gridCol w:w="95"/>
        <w:gridCol w:w="60"/>
        <w:gridCol w:w="171"/>
        <w:gridCol w:w="1303"/>
        <w:gridCol w:w="95"/>
        <w:gridCol w:w="60"/>
        <w:gridCol w:w="79"/>
        <w:gridCol w:w="1395"/>
        <w:gridCol w:w="110"/>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Net loss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(4,267,806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(2,824,647</w:t>
            </w:r>
          </w:p>
        </w:tc>
        <w:tc>
          <w:tcPr>
            <w:tcW w:w="11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Basic and diluted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5,453,103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4,521,133</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attributable to Aptorum Group Limited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(see Note 16), the Company issued Investor Warrants to purchase 2,000,000 Class A ordinary shares and Placement Agent Warrants to purchase 60,180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WARRANTS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Investor Warrants was determined using a binomial option pricing model with the following inputs:</w:t>
      </w:r>
    </w:p>
    <w:p>
      <w:pPr>
        <w:pStyle w:val="TextBody"/>
        <w:bidi w:val="0"/>
        <w:spacing w:before="0" w:after="0"/>
        <w:ind w:left="0" w:right="0" w:firstLine="360"/>
        <w:jc w:val="both"/>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1895"/>
        <w:gridCol w:w="60"/>
        <w:gridCol w:w="201"/>
        <w:gridCol w:w="1063"/>
        <w:gridCol w:w="215"/>
        <w:gridCol w:w="60"/>
        <w:gridCol w:w="294"/>
        <w:gridCol w:w="1180"/>
        <w:gridCol w:w="23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October 14,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23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63" w:type="dxa"/>
            <w:tcBorders/>
            <w:shd w:fill="FFFFFF" w:val="clear"/>
            <w:vAlign w:val="center"/>
          </w:tcPr>
          <w:p>
            <w:pPr>
              <w:pStyle w:val="TableContents"/>
              <w:bidi w:val="0"/>
              <w:spacing w:before="0" w:after="283"/>
              <w:jc w:val="right"/>
              <w:rPr/>
            </w:pPr>
            <w:r>
              <w:rPr/>
              <w:t>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2.00</w:t>
            </w:r>
          </w:p>
        </w:tc>
        <w:tc>
          <w:tcPr>
            <w:tcW w:w="23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 years</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3.48</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58.80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58.10</w:t>
            </w:r>
          </w:p>
        </w:tc>
        <w:tc>
          <w:tcPr>
            <w:tcW w:w="23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Dividend rate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Dilution factor</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Fair value per share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63" w:type="dxa"/>
            <w:tcBorders/>
            <w:shd w:fill="FFFFFF" w:val="clear"/>
            <w:vAlign w:val="center"/>
          </w:tcPr>
          <w:p>
            <w:pPr>
              <w:pStyle w:val="TableContents"/>
              <w:bidi w:val="0"/>
              <w:spacing w:before="0" w:after="283"/>
              <w:jc w:val="right"/>
              <w:rPr/>
            </w:pPr>
            <w:r>
              <w:rPr/>
              <w:t>0.498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0.153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are exercisable immediately upon issuance and expire on the earlier of (i) 24 months from the effective date of a registration statement or (ii) October 10,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2,060,180 warrants outstanding to purchase Class A ordinary shares with a weighted-average exercise price of $2.01 and a weighted-average remaining contractual term of approximately 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Payment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does not have any non-cancellable purchase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COMMITMENTS AND CONTINGENCIES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pStyle w:val="TextBody"/>
        <w:bidi w:val="0"/>
        <w:spacing w:before="0" w:after="0"/>
        <w:ind w:left="0" w:right="0" w:firstLine="360"/>
        <w:jc w:val="both"/>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5540"/>
        <w:gridCol w:w="60"/>
        <w:gridCol w:w="140"/>
        <w:gridCol w:w="98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Drug molecules: up to the conditions and milestones of</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From entering phase 1 to before first commercial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First commercial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800,000</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Net sales amount more than certain threshold in a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8,720,000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all events and transactions that occur after December 31, 2025, there is no subsequent event occurred that would require recognition or disclosure in the Group’s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registrant in connection with this offering, other than underwriting commissions and discounts, all of which are estimated except for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5060"/>
        <w:gridCol w:w="60"/>
        <w:gridCol w:w="140"/>
        <w:gridCol w:w="9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10,357.50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15,450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2,829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28,636.50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Estimated expenses are not presently known because they depend upon, among other things, the number of offerings that will be made pursuant to this registration statement, the amount and type of securities being offered and the timing of such offerings; we cannot compute the total until the exact expenses are known.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(the “Charter”) provides that all of the Registrant’s directors, officers, employees and agents shall be entitled to be indemnified by the Registrant to the fullest extent permitted by Section 145 of the Delaware General Corporation Law (“DGCL”). Section 145 of the DGCL concerning indemnification of officers, directors, employees, and agents is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3"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(b)</w:t>
            </w:r>
          </w:p>
        </w:tc>
        <w:tc>
          <w:tcPr>
            <w:tcW w:w="9978"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(c)</w:t>
            </w:r>
          </w:p>
        </w:tc>
        <w:tc>
          <w:tcPr>
            <w:tcW w:w="9981" w:type="dxa"/>
            <w:tcBorders/>
            <w:vAlign w:val="center"/>
          </w:tcPr>
          <w:p>
            <w:pPr>
              <w:pStyle w:val="TableContents"/>
              <w:bidi w:val="0"/>
              <w:spacing w:before="0" w:after="283"/>
              <w:jc w:val="both"/>
              <w:rPr>
                <w:sz w:val="20"/>
              </w:rPr>
            </w:pPr>
            <w:r>
              <w:rPr>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(d)</w:t>
            </w:r>
          </w:p>
        </w:tc>
        <w:tc>
          <w:tcPr>
            <w:tcW w:w="9975" w:type="dxa"/>
            <w:tcBorders/>
            <w:vAlign w:val="center"/>
          </w:tcPr>
          <w:p>
            <w:pPr>
              <w:pStyle w:val="TableContents"/>
              <w:bidi w:val="0"/>
              <w:spacing w:before="0" w:after="283"/>
              <w:jc w:val="both"/>
              <w:rPr>
                <w:sz w:val="20"/>
              </w:rPr>
            </w:pPr>
            <w:r>
              <w:rPr>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20"/>
              </w:rPr>
            </w:pPr>
            <w:r>
              <w:rPr>
                <w:sz w:val="20"/>
              </w:rPr>
              <w:t>(e)</w:t>
            </w:r>
          </w:p>
        </w:tc>
        <w:tc>
          <w:tcPr>
            <w:tcW w:w="9988" w:type="dxa"/>
            <w:tcBorders/>
            <w:vAlign w:val="center"/>
          </w:tcPr>
          <w:p>
            <w:pPr>
              <w:pStyle w:val="TableContents"/>
              <w:bidi w:val="0"/>
              <w:spacing w:before="0" w:after="283"/>
              <w:jc w:val="both"/>
              <w:rPr>
                <w:sz w:val="20"/>
              </w:rPr>
            </w:pPr>
            <w:r>
              <w:rPr>
                <w:sz w:val="20"/>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(f)</w:t>
            </w:r>
          </w:p>
        </w:tc>
        <w:tc>
          <w:tcPr>
            <w:tcW w:w="10021" w:type="dxa"/>
            <w:tcBorders/>
            <w:vAlign w:val="center"/>
          </w:tcPr>
          <w:p>
            <w:pPr>
              <w:pStyle w:val="TableContents"/>
              <w:bidi w:val="0"/>
              <w:spacing w:before="0" w:after="283"/>
              <w:jc w:val="both"/>
              <w:rPr>
                <w:sz w:val="20"/>
              </w:rPr>
            </w:pPr>
            <w:r>
              <w:rPr>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(g)</w:t>
            </w:r>
          </w:p>
        </w:tc>
        <w:tc>
          <w:tcPr>
            <w:tcW w:w="9971" w:type="dxa"/>
            <w:tcBorders/>
            <w:vAlign w:val="center"/>
          </w:tcPr>
          <w:p>
            <w:pPr>
              <w:pStyle w:val="TableContents"/>
              <w:bidi w:val="0"/>
              <w:spacing w:before="0" w:after="283"/>
              <w:jc w:val="both"/>
              <w:rPr>
                <w:sz w:val="20"/>
              </w:rPr>
            </w:pPr>
            <w:r>
              <w:rPr>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(h)</w:t>
            </w:r>
          </w:p>
        </w:tc>
        <w:tc>
          <w:tcPr>
            <w:tcW w:w="9975" w:type="dxa"/>
            <w:tcBorders/>
            <w:vAlign w:val="center"/>
          </w:tcPr>
          <w:p>
            <w:pPr>
              <w:pStyle w:val="TableContents"/>
              <w:bidi w:val="0"/>
              <w:spacing w:before="0" w:after="283"/>
              <w:jc w:val="both"/>
              <w:rPr>
                <w:sz w:val="20"/>
              </w:rPr>
            </w:pPr>
            <w:r>
              <w:rPr>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19" w:type="dxa"/>
            <w:tcBorders/>
            <w:vAlign w:val="center"/>
          </w:tcPr>
          <w:p>
            <w:pPr>
              <w:pStyle w:val="TableContents"/>
              <w:bidi w:val="0"/>
              <w:spacing w:before="0" w:after="283"/>
              <w:jc w:val="both"/>
              <w:rPr>
                <w:sz w:val="20"/>
              </w:rPr>
            </w:pPr>
            <w:r>
              <w:rPr>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(j)</w:t>
            </w:r>
          </w:p>
        </w:tc>
        <w:tc>
          <w:tcPr>
            <w:tcW w:w="10007" w:type="dxa"/>
            <w:tcBorders/>
            <w:vAlign w:val="center"/>
          </w:tcPr>
          <w:p>
            <w:pPr>
              <w:pStyle w:val="TableContents"/>
              <w:bidi w:val="0"/>
              <w:spacing w:before="0" w:after="283"/>
              <w:jc w:val="both"/>
              <w:rPr>
                <w:sz w:val="20"/>
              </w:rPr>
            </w:pPr>
            <w:r>
              <w:rPr>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(k)</w:t>
            </w:r>
          </w:p>
        </w:tc>
        <w:tc>
          <w:tcPr>
            <w:tcW w:w="9966" w:type="dxa"/>
            <w:tcBorders/>
            <w:vAlign w:val="center"/>
          </w:tcPr>
          <w:p>
            <w:pPr>
              <w:pStyle w:val="TableContents"/>
              <w:bidi w:val="0"/>
              <w:spacing w:before="0" w:after="283"/>
              <w:jc w:val="both"/>
              <w:rPr>
                <w:sz w:val="20"/>
              </w:rPr>
            </w:pPr>
            <w:r>
              <w:rPr>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Registrant’s directors, officers and controlling persons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the Charter provides that no director shall be personally liable to the Registrant or any of its stockholders for monetary damages resulting from breaches of their fiduciary duty as directors, except to the extent such limitation on or exemption from liability is not permitted under the DGCL. The effect of this provision of the Charter is to eliminate the Registrant’s rights and those of the Registrant’s stockholders (through stockholders’ derivative suits on the Registrant’s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the Registrant’s rights or the rights of any stockholder to seek non-monetary relief, such as an injunction or rescission, in the event of a breach of a director’s duty of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the Charter, the liability of the Registrant’s directors to the Registrant or its stockholders will be eliminated or limited to the fullest extent authorized by the DGCL, as so amended. Any repeal or amendment of provisions of the Charter limiting or eliminating the liability of directors, whether by the Registrant’s stockholders or by changes in law, or the adoption of any other provisions inconsistent therewith, will (unless otherwise required by law) be prospective only, except to the extent such amendment or change in law permits the Registrant to further limit or eliminate the liability of directors on a retroactive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Registrant will, to the fullest extent authorized or permitted by applicable law, indemnify its current and former officers and directors, as well as those persons who, while directors or officers of the Registrant,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the Charter will be indemnified by the Registrant in connection with a proceeding initiated by such person only if such proceeding was authorized by the Registrant’s board of directors, except for proceedings to enforce rights to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the Charter is a contract right that includes the right to be paid by the Registrant the expenses incurred in defending or otherwise participating in any proceeding referenced above in advance of its final disposition, provided, however, that if the DGCL requires, an advancement of expenses incurred by an officer or director of the Registrant (solely in the capacity as an officer or director of the Registrant) will be made only upon delivery to the Registrant of an undertaking, by or on behalf of such officer or director, to repay all amounts so advanced if it is ultimately determined that such person is not entitled to be indemnified for such expenses under the Charter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the Charter may have or hereafter acquire under law, the Charter, the Registrant’s bylaws (the “Bylaws”), an agreement,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Charter affecting indemnification rights, whether by the Registrant’s stockholders or by changes in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The Charter also permits the Registrant, to the extent and in the manner authorized or permitted by law, to indemnify and to advance expenses to persons other that those specifically covered by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include the provisions relating to advancement of expenses and indemnification rights consistent with those which are set forth in the Charter. In addition, the Bylaws provide for a right of indemnity to bring a suit in the event a claim for indemnification or advancement of expenses is not paid in full by the Registrant within a specified period of time. The Bylaws also permit the Registrant to purchase and maintain insurance, at the Registrant’s expense, to protect it and/or any director, officer, employee or agent of the Registrant or another entity, trust, or other enterprise against any expense, liability, or loss, whether or not the Registrant would have the power to indemnify such person against such expense, liability, or loss under the DGCL.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Bylaws affecting indemnification rights, whether by the Registrant’s board of directors, stockholders or by changes in applicable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officers and directors.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 including those exhibits incorporated herein by reference to a prior filing under the Securities Act or the Exchange Act, as indicated in parentheses: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1"/>
        <w:gridCol w:w="60"/>
        <w:gridCol w:w="8944"/>
      </w:tblGrid>
      <w:tr>
        <w:trPr/>
        <w:tc>
          <w:tcPr>
            <w:tcW w:w="1201"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944" w:type="dxa"/>
            <w:tcBorders>
              <w:bottom w:val="single" w:sz="12" w:space="0" w:color="000000"/>
            </w:tcBorders>
            <w:vAlign w:val="center"/>
          </w:tcPr>
          <w:p>
            <w:pPr>
              <w:pStyle w:val="TableContents"/>
              <w:bidi w:val="0"/>
              <w:spacing w:before="0" w:after="283"/>
              <w:jc w:val="center"/>
              <w:rPr>
                <w:b/>
                <w:sz w:val="20"/>
              </w:rPr>
            </w:pPr>
            <w:r>
              <w:rPr>
                <w:b/>
                <w:sz w:val="20"/>
              </w:rPr>
              <w:t>Description of Document</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sz w:val="20"/>
              </w:rPr>
            </w:pPr>
            <w:r>
              <w:rPr>
                <w:sz w:val="20"/>
              </w:rPr>
              <w:t>Form of Underwriting Agreement**</w:t>
            </w:r>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 xml:space="preserve">4.1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sz w:val="20"/>
              </w:rPr>
            </w:pPr>
            <w:r>
              <w:rPr>
                <w:sz w:val="20"/>
              </w:rPr>
              <w:t xml:space="preserve">Specimen Common Stock Certificate** </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 xml:space="preserve">4.2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sz w:val="20"/>
              </w:rPr>
            </w:pPr>
            <w:r>
              <w:rPr>
                <w:sz w:val="20"/>
              </w:rPr>
              <w:t>Form of Preferred Share Certificate**</w:t>
            </w:r>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 xml:space="preserve">4.3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sz w:val="20"/>
              </w:rPr>
            </w:pPr>
            <w:r>
              <w:rPr>
                <w:sz w:val="20"/>
              </w:rPr>
              <w:t>Form of Warrant**</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 xml:space="preserve">4.4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sz w:val="20"/>
              </w:rPr>
            </w:pPr>
            <w:r>
              <w:rPr>
                <w:sz w:val="20"/>
              </w:rPr>
              <w:t>Form of Warrant Agreement**</w:t>
            </w:r>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 xml:space="preserve">4.5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sz w:val="20"/>
              </w:rPr>
            </w:pPr>
            <w:r>
              <w:rPr>
                <w:sz w:val="20"/>
              </w:rPr>
              <w:t>Form of Unit Agreement**</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pPr>
            <w:hyperlink r:id="rId6">
              <w:r>
                <w:rPr>
                  <w:rStyle w:val="InternetLink"/>
                  <w:sz w:val="20"/>
                </w:rPr>
                <w:t>Form of indenture with respect to senior debt securities, to be entered into between registrant and a trustee acceptable to the registrant, if any.</w:t>
              </w:r>
            </w:hyperlink>
            <w:hyperlink r:id="rId7">
              <w:r>
                <w:rPr>
                  <w:rStyle w:val="InternetLink"/>
                  <w:position w:val="7"/>
                  <w:sz w:val="16"/>
                  <w:sz w:val="20"/>
                </w:rPr>
                <w:t>(1)</w:t>
              </w:r>
            </w:hyperlink>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pPr>
            <w:hyperlink r:id="rId8">
              <w:r>
                <w:rPr>
                  <w:rStyle w:val="InternetLink"/>
                  <w:sz w:val="20"/>
                </w:rPr>
                <w:t>Form of indenture with respect to subordinated debt securities, to be entered into between registrant and a trustee acceptable to the registrant, if any.</w:t>
              </w:r>
            </w:hyperlink>
            <w:hyperlink r:id="rId9">
              <w:r>
                <w:rPr>
                  <w:rStyle w:val="InternetLink"/>
                  <w:position w:val="7"/>
                  <w:sz w:val="16"/>
                  <w:sz w:val="20"/>
                </w:rPr>
                <w:t>(1)</w:t>
              </w:r>
            </w:hyperlink>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sz w:val="20"/>
              </w:rPr>
            </w:pPr>
            <w:r>
              <w:rPr>
                <w:sz w:val="20"/>
              </w:rPr>
              <w:t>Form of debt securities, if any**</w:t>
            </w:r>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sz w:val="20"/>
              </w:rPr>
            </w:pPr>
            <w:r>
              <w:rPr>
                <w:sz w:val="20"/>
              </w:rPr>
              <w:t>Form of Right Certificate, if any**</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 xml:space="preserve">5.1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pPr>
            <w:hyperlink r:id="rId10">
              <w:r>
                <w:rPr>
                  <w:rStyle w:val="InternetLink"/>
                  <w:sz w:val="20"/>
                </w:rPr>
                <w:t>Opinion of Hunter Taubman Fischer &amp; Li LLC</w:t>
              </w:r>
            </w:hyperlink>
            <w:hyperlink r:id="rId11">
              <w:r>
                <w:rPr>
                  <w:rStyle w:val="InternetLink"/>
                  <w:position w:val="7"/>
                  <w:sz w:val="16"/>
                  <w:sz w:val="20"/>
                </w:rPr>
                <w:t>(1)</w:t>
              </w:r>
            </w:hyperlink>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pPr>
            <w:hyperlink w:anchor="ea030711701ex23-1.htm">
              <w:r>
                <w:rPr>
                  <w:rStyle w:val="InternetLink"/>
                  <w:sz w:val="20"/>
                </w:rPr>
                <w:t>Consent of Marcum Asia CPAs LLP*</w:t>
              </w:r>
            </w:hyperlink>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pPr>
            <w:hyperlink w:anchor="ea030711701ex23-2.htm">
              <w:r>
                <w:rPr>
                  <w:rStyle w:val="InternetLink"/>
                  <w:sz w:val="20"/>
                </w:rPr>
                <w:t>Consent of CBIZ CPAs P.C.*</w:t>
              </w:r>
            </w:hyperlink>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 xml:space="preserve">23.4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pPr>
            <w:hyperlink r:id="rId12">
              <w:r>
                <w:rPr>
                  <w:rStyle w:val="InternetLink"/>
                  <w:sz w:val="20"/>
                </w:rPr>
                <w:t>Consent of Hunter Taubman Fischer &amp; Li LLC (included in Exhibit 5.1)</w:t>
              </w:r>
            </w:hyperlink>
            <w:hyperlink r:id="rId13">
              <w:r>
                <w:rPr>
                  <w:rStyle w:val="InternetLink"/>
                  <w:position w:val="7"/>
                  <w:sz w:val="16"/>
                  <w:sz w:val="20"/>
                </w:rPr>
                <w:t>(1)</w:t>
              </w:r>
            </w:hyperlink>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pPr>
            <w:hyperlink w:anchor="a_013">
              <w:r>
                <w:rPr>
                  <w:rStyle w:val="InternetLink"/>
                  <w:sz w:val="20"/>
                </w:rPr>
                <w:t>Power of Attorney (Included on signature page) *</w:t>
              </w:r>
            </w:hyperlink>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 xml:space="preserve">25.1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sz w:val="20"/>
              </w:rPr>
            </w:pPr>
            <w:r>
              <w:rPr>
                <w:sz w:val="20"/>
              </w:rPr>
              <w:t xml:space="preserve">Statement of Eligibility of trustee on Form T-1 under the Trust Indenture Act of 1939 under the Senior Indenture+ </w:t>
            </w:r>
          </w:p>
        </w:tc>
      </w:tr>
      <w:tr>
        <w:trPr/>
        <w:tc>
          <w:tcPr>
            <w:tcW w:w="1201" w:type="dxa"/>
            <w:tcBorders/>
            <w:shd w:fill="CCEEFF" w:val="clear"/>
            <w:tcMar>
              <w:bottom w:w="0" w:type="dxa"/>
            </w:tcMar>
            <w:vAlign w:val="center"/>
          </w:tcPr>
          <w:p>
            <w:pPr>
              <w:pStyle w:val="TableContents"/>
              <w:bidi w:val="0"/>
              <w:spacing w:before="0" w:after="283"/>
              <w:jc w:val="left"/>
              <w:rPr>
                <w:sz w:val="20"/>
              </w:rPr>
            </w:pPr>
            <w:r>
              <w:rPr>
                <w:sz w:val="20"/>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4" w:type="dxa"/>
            <w:tcBorders/>
            <w:shd w:fill="CCEEFF" w:val="clear"/>
            <w:tcMar>
              <w:bottom w:w="0" w:type="dxa"/>
            </w:tcMar>
            <w:vAlign w:val="center"/>
          </w:tcPr>
          <w:p>
            <w:pPr>
              <w:pStyle w:val="TableContents"/>
              <w:bidi w:val="0"/>
              <w:spacing w:before="0" w:after="283"/>
              <w:jc w:val="both"/>
              <w:rPr>
                <w:sz w:val="20"/>
              </w:rPr>
            </w:pPr>
            <w:r>
              <w:rPr>
                <w:sz w:val="20"/>
              </w:rPr>
              <w:t>Statement of Eligibility of trustee on Form T-1 under the Trust Indenture Act of 1939 under the Subordinated Indenture+</w:t>
            </w:r>
          </w:p>
        </w:tc>
      </w:tr>
      <w:tr>
        <w:trPr/>
        <w:tc>
          <w:tcPr>
            <w:tcW w:w="1201"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4" w:type="dxa"/>
            <w:tcBorders/>
            <w:shd w:fill="FFFFFF" w:val="clear"/>
            <w:tcMar>
              <w:bottom w:w="0" w:type="dxa"/>
            </w:tcMar>
            <w:vAlign w:val="center"/>
          </w:tcPr>
          <w:p>
            <w:pPr>
              <w:pStyle w:val="TableContents"/>
              <w:bidi w:val="0"/>
              <w:spacing w:before="0" w:after="283"/>
              <w:jc w:val="both"/>
              <w:rPr/>
            </w:pPr>
            <w:hyperlink r:id="rId14">
              <w:r>
                <w:rPr>
                  <w:rStyle w:val="InternetLink"/>
                  <w:sz w:val="20"/>
                </w:rPr>
                <w:t>Calculation of Filing Fee Table</w:t>
              </w:r>
            </w:hyperlink>
            <w:hyperlink r:id="rId15">
              <w:r>
                <w:rPr>
                  <w:rStyle w:val="InternetLink"/>
                  <w:position w:val="7"/>
                  <w:sz w:val="16"/>
                  <w:sz w:val="20"/>
                </w:rPr>
                <w:t>(1)</w:t>
              </w:r>
            </w:hyperlink>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sz w:val="20"/>
              </w:rPr>
            </w:pPr>
            <w:r>
              <w:rPr>
                <w:sz w:val="20"/>
              </w:rPr>
              <w:t>*</w:t>
            </w:r>
          </w:p>
        </w:tc>
        <w:tc>
          <w:tcPr>
            <w:tcW w:w="9941" w:type="dxa"/>
            <w:tcBorders/>
            <w:vAlign w:val="center"/>
          </w:tcPr>
          <w:p>
            <w:pPr>
              <w:pStyle w:val="TableContents"/>
              <w:bidi w:val="0"/>
              <w:spacing w:before="0" w:after="283"/>
              <w:jc w:val="left"/>
              <w:rPr>
                <w:sz w:val="20"/>
              </w:rPr>
            </w:pPr>
            <w:r>
              <w:rPr>
                <w:sz w:val="20"/>
              </w:rPr>
              <w:t>Filed herewith</w:t>
            </w:r>
          </w:p>
        </w:tc>
      </w:tr>
      <w:tr>
        <w:trPr/>
        <w:tc>
          <w:tcPr>
            <w:tcW w:w="26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r>
        <w:trPr/>
        <w:tc>
          <w:tcPr>
            <w:tcW w:w="264" w:type="dxa"/>
            <w:tcBorders/>
            <w:vAlign w:val="center"/>
          </w:tcPr>
          <w:p>
            <w:pPr>
              <w:pStyle w:val="TableContents"/>
              <w:bidi w:val="0"/>
              <w:spacing w:before="0" w:after="283"/>
              <w:jc w:val="left"/>
              <w:rPr>
                <w:sz w:val="20"/>
              </w:rPr>
            </w:pPr>
            <w:r>
              <w:rPr>
                <w:sz w:val="20"/>
              </w:rPr>
              <w:t>**</w:t>
            </w:r>
          </w:p>
        </w:tc>
        <w:tc>
          <w:tcPr>
            <w:tcW w:w="9941" w:type="dxa"/>
            <w:tcBorders/>
            <w:vAlign w:val="center"/>
          </w:tcPr>
          <w:p>
            <w:pPr>
              <w:pStyle w:val="TableContents"/>
              <w:bidi w:val="0"/>
              <w:spacing w:before="0" w:after="283"/>
              <w:jc w:val="both"/>
              <w:rPr>
                <w:sz w:val="20"/>
              </w:rPr>
            </w:pPr>
            <w:r>
              <w:rPr>
                <w:sz w:val="20"/>
              </w:rPr>
              <w:t>To be filed by amendment or as an exhibit to a filing with the SEC under Section 13 or 15(d) of the Securities Exchange Act of 1934 and incorporated by reference in connection with the offering of securities to the extent required for any such offering.</w:t>
            </w:r>
          </w:p>
        </w:tc>
      </w:tr>
      <w:tr>
        <w:trPr/>
        <w:tc>
          <w:tcPr>
            <w:tcW w:w="26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r>
        <w:trPr/>
        <w:tc>
          <w:tcPr>
            <w:tcW w:w="264" w:type="dxa"/>
            <w:tcBorders/>
            <w:vAlign w:val="center"/>
          </w:tcPr>
          <w:p>
            <w:pPr>
              <w:pStyle w:val="TableContents"/>
              <w:bidi w:val="0"/>
              <w:spacing w:before="0" w:after="283"/>
              <w:jc w:val="left"/>
              <w:rPr>
                <w:sz w:val="20"/>
              </w:rPr>
            </w:pPr>
            <w:r>
              <w:rPr>
                <w:sz w:val="20"/>
              </w:rPr>
              <w:t>+</w:t>
            </w:r>
          </w:p>
        </w:tc>
        <w:tc>
          <w:tcPr>
            <w:tcW w:w="9941" w:type="dxa"/>
            <w:tcBorders/>
            <w:vAlign w:val="center"/>
          </w:tcPr>
          <w:p>
            <w:pPr>
              <w:pStyle w:val="TableContents"/>
              <w:bidi w:val="0"/>
              <w:spacing w:before="0" w:after="283"/>
              <w:jc w:val="both"/>
              <w:rPr>
                <w:sz w:val="20"/>
              </w:rPr>
            </w:pPr>
            <w:r>
              <w:rPr>
                <w:sz w:val="20"/>
              </w:rPr>
              <w:t>To be filed pursuant to Rule 305(b)(2) of the Trust Indenture Act, if applicable.</w:t>
            </w:r>
          </w:p>
        </w:tc>
      </w:tr>
      <w:tr>
        <w:trPr/>
        <w:tc>
          <w:tcPr>
            <w:tcW w:w="26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both"/>
              <w:rPr/>
            </w:pPr>
            <w:r>
              <w:rPr/>
              <w:t>Incorporated by reference to the Registration Statement on Form S-3 filed on August 28,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 Undertakings</w:t>
      </w:r>
    </w:p>
    <w:p>
      <w:pPr>
        <w:pStyle w:val="TextBody"/>
        <w:bidi w:val="0"/>
        <w:spacing w:before="0" w:after="0"/>
        <w:ind w:left="0" w:right="0" w:hanging="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20"/>
              </w:rPr>
            </w:pPr>
            <w:r>
              <w:rPr>
                <w:sz w:val="20"/>
              </w:rPr>
              <w:t>(1)</w:t>
            </w:r>
          </w:p>
        </w:tc>
        <w:tc>
          <w:tcPr>
            <w:tcW w:w="9923"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w:t>
            </w:r>
          </w:p>
        </w:tc>
        <w:tc>
          <w:tcPr>
            <w:tcW w:w="9924" w:type="dxa"/>
            <w:tcBorders/>
            <w:vAlign w:val="center"/>
          </w:tcPr>
          <w:p>
            <w:pPr>
              <w:pStyle w:val="TableContents"/>
              <w:bidi w:val="0"/>
              <w:spacing w:before="0" w:after="283"/>
              <w:jc w:val="left"/>
              <w:rPr>
                <w:sz w:val="20"/>
              </w:rPr>
            </w:pPr>
            <w:r>
              <w:rPr>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w:t>
            </w:r>
            <w:r>
              <w:rPr>
                <w:sz w:val="20"/>
                <w:shd w:fill="FFFFFF" w:val="clear"/>
              </w:rPr>
              <w:t> </w:t>
            </w:r>
            <w:r>
              <w:rPr>
                <w:sz w:val="20"/>
              </w:rPr>
              <w:t>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(iii)</w:t>
            </w:r>
          </w:p>
        </w:tc>
        <w:tc>
          <w:tcPr>
            <w:tcW w:w="9873"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(3)</w:t>
            </w:r>
          </w:p>
        </w:tc>
        <w:tc>
          <w:tcPr>
            <w:tcW w:w="990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(4)</w:t>
            </w:r>
          </w:p>
        </w:tc>
        <w:tc>
          <w:tcPr>
            <w:tcW w:w="7760"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(5)</w:t>
            </w:r>
          </w:p>
        </w:tc>
        <w:tc>
          <w:tcPr>
            <w:tcW w:w="9935"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both"/>
              <w:rPr/>
            </w:pPr>
            <w:r>
              <w:rPr/>
              <w:t>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3"/>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Niki BioSolutions, Inc. certifies that it has reasonable grounds to believe that it meets all of the requirements for filing on Form S-3 and has duly caused this registration statement to be signed on its behalf by the undersigned, thereunto duly authorized, in Princeton, New Jersey on October 2, 2026. </w:t>
      </w:r>
    </w:p>
    <w:p>
      <w:pPr>
        <w:pStyle w:val="TextBody"/>
        <w:bidi w:val="0"/>
        <w:spacing w:before="0" w:after="0"/>
        <w:ind w:left="0" w:right="0" w:hanging="0"/>
        <w:jc w:val="center"/>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325"/>
        <w:gridCol w:w="1989"/>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20"/>
              </w:rPr>
            </w:pPr>
            <w:r>
              <w:rPr>
                <w:sz w:val="20"/>
              </w:rPr>
              <w:t>By:</w:t>
            </w:r>
          </w:p>
        </w:tc>
        <w:tc>
          <w:tcPr>
            <w:tcW w:w="1989"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590"/>
        <w:gridCol w:w="3080"/>
      </w:tblGrid>
      <w:tr>
        <w:trPr/>
        <w:tc>
          <w:tcPr>
            <w:tcW w:w="75"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308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80"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80" w:type="dxa"/>
            <w:tcBorders/>
            <w:vAlign w:val="center"/>
          </w:tcPr>
          <w:p>
            <w:pPr>
              <w:pStyle w:val="TableContents"/>
              <w:bidi w:val="0"/>
              <w:spacing w:before="0" w:after="283"/>
              <w:jc w:val="left"/>
              <w:rPr/>
            </w:pPr>
            <w:r>
              <w:rPr/>
              <w:t>Acting Chief Financial Officer</w:t>
              <w:br/>
              <w:t xml:space="preserve">(Principal Financial Officer and </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1730"/>
        <w:gridCol w:w="120"/>
        <w:gridCol w:w="5225"/>
        <w:gridCol w:w="120"/>
        <w:gridCol w:w="1640"/>
      </w:tblGrid>
      <w:tr>
        <w:trPr/>
        <w:tc>
          <w:tcPr>
            <w:tcW w:w="1730" w:type="dxa"/>
            <w:tcBorders>
              <w:bottom w:val="single" w:sz="12" w:space="0" w:color="000000"/>
            </w:tcBorders>
            <w:vAlign w:val="center"/>
          </w:tcPr>
          <w:p>
            <w:pPr>
              <w:pStyle w:val="TableContents"/>
              <w:bidi w:val="0"/>
              <w:spacing w:before="0" w:after="283"/>
              <w:jc w:val="left"/>
              <w:rPr/>
            </w:pPr>
            <w:r>
              <w:rPr>
                <w:i/>
                <w:sz w:val="20"/>
              </w:rPr>
              <w:t>/s/ 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Chief Executive Officer and Chairman of the Board of Directors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sz w:val="20"/>
              </w:rPr>
              <w:t>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Acting 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sz w:val="20"/>
              </w:rPr>
              <w:t>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Kira Sheinerman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i/>
                <w:sz w:val="20"/>
              </w:rPr>
              <w:t>Kira Sheinerman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Justin Wu</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sz w:val="20"/>
              </w:rPr>
              <w:t>Justin Wu</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Douglas Arner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sz w:val="20"/>
              </w:rPr>
              <w:t>Douglas Arner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Laura A. Philips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October 2, 2026 </w:t>
            </w:r>
          </w:p>
        </w:tc>
      </w:tr>
      <w:tr>
        <w:trPr/>
        <w:tc>
          <w:tcPr>
            <w:tcW w:w="1730" w:type="dxa"/>
            <w:tcBorders/>
            <w:tcMar>
              <w:bottom w:w="0" w:type="dxa"/>
            </w:tcMar>
            <w:vAlign w:val="center"/>
          </w:tcPr>
          <w:p>
            <w:pPr>
              <w:pStyle w:val="TableContents"/>
              <w:bidi w:val="0"/>
              <w:spacing w:before="0" w:after="283"/>
              <w:jc w:val="left"/>
              <w:rPr/>
            </w:pPr>
            <w:r>
              <w:rPr>
                <w:sz w:val="20"/>
              </w:rPr>
              <w:t>Laura A. Philips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40"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711701ex23-1.htm"/>
      <w:bookmarkStart w:id="23" w:name="ksea030711701ex231"/>
      <w:bookmarkEnd w:id="22"/>
      <w:bookmarkEnd w:id="2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2381250" cy="3714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S-3 of our report dated March 27, 2026 relating to the financial statements of Niki BioSolutions, Inc. (formerly known as Aptorum Group Limited) appearing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711701ex23-2.htm"/>
      <w:bookmarkStart w:id="25" w:name="ksea030711701ex232"/>
      <w:bookmarkEnd w:id="24"/>
      <w:bookmarkEnd w:id="25"/>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August 21, 2026 with respect to the financial statements of DiamiR Biosciences Corp. included in the Current Report on Form 8-K/A of Niki BioSolutions, Inc. dated August 21,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734005/000121390026079416/ea0298262-8k_nikibio.htm" TargetMode="External"/><Relationship Id="rId3" Type="http://schemas.openxmlformats.org/officeDocument/2006/relationships/hyperlink" Target="http://www.sec.gov/ix?doc=/Archives/edgar/data/1734005/000121390026092661/ea0302544-8k_nikibio.htm" TargetMode="External"/><Relationship Id="rId4" Type="http://schemas.openxmlformats.org/officeDocument/2006/relationships/hyperlink" Target="http://www.sec.gov/ix?doc=/Archives/edgar/data/1734005/000121390026092689/ea0301803-8ka1_nikibio.htm" TargetMode="External"/><Relationship Id="rId5" Type="http://schemas.openxmlformats.org/officeDocument/2006/relationships/hyperlink" Target="https://www.sec.gov/ix?doc=/Archives/edgar/data/1734005/000121390026097705/ea0304290-8k_nikibio.htm" TargetMode="External"/><Relationship Id="rId6" Type="http://schemas.openxmlformats.org/officeDocument/2006/relationships/hyperlink" Target="https://www.sec.gov/Archives/edgar/data/1734005/000121390026094595/ea030223901ex4-6.htm" TargetMode="External"/><Relationship Id="rId7" Type="http://schemas.openxmlformats.org/officeDocument/2006/relationships/hyperlink" Target="https://www.sec.gov/Archives/edgar/data/1734005/000121390026094595/ea030223901ex4-6.htm" TargetMode="External"/><Relationship Id="rId8" Type="http://schemas.openxmlformats.org/officeDocument/2006/relationships/hyperlink" Target="https://www.sec.gov/Archives/edgar/data/1734005/000121390026094595/ea030223901ex4-7.htm" TargetMode="External"/><Relationship Id="rId9" Type="http://schemas.openxmlformats.org/officeDocument/2006/relationships/hyperlink" Target="https://www.sec.gov/Archives/edgar/data/1734005/000121390026094595/ea030223901ex4-7.htm" TargetMode="External"/><Relationship Id="rId10" Type="http://schemas.openxmlformats.org/officeDocument/2006/relationships/hyperlink" Target="https://www.sec.gov/Archives/edgar/data/1734005/000121390026094595/ea030223901ex5-1.htm" TargetMode="External"/><Relationship Id="rId11" Type="http://schemas.openxmlformats.org/officeDocument/2006/relationships/hyperlink" Target="https://www.sec.gov/Archives/edgar/data/1734005/000121390026094595/ea030223901ex5-1.htm" TargetMode="External"/><Relationship Id="rId12" Type="http://schemas.openxmlformats.org/officeDocument/2006/relationships/hyperlink" Target="https://www.sec.gov/Archives/edgar/data/1734005/000121390026094595/ea030223901ex5-1.htm" TargetMode="External"/><Relationship Id="rId13" Type="http://schemas.openxmlformats.org/officeDocument/2006/relationships/hyperlink" Target="https://www.sec.gov/Archives/edgar/data/1734005/000121390026094595/ea030223901ex5-1.htm" TargetMode="External"/><Relationship Id="rId14" Type="http://schemas.openxmlformats.org/officeDocument/2006/relationships/hyperlink" Target="https://www.sec.gov/ix?doc=/Archives/edgar/data/1734005/000121390026094595/ea030223901ex-fee.htm" TargetMode="External"/><Relationship Id="rId15" Type="http://schemas.openxmlformats.org/officeDocument/2006/relationships/hyperlink" Target="https://www.sec.gov/ix?doc=/Archives/edgar/data/1734005/000121390026094595/ea030223901ex-fee.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95834</Words>
  <Characters>524179</Characters>
  <CharactersWithSpaces>622639</CharactersWithSpaces>
  <Paragraphs>10066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