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8263-8k_nikibio.htm"/>
      <w:bookmarkStart w:id="1" w:name="ksea03082638k_nikibio"/>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D_edei--DocumentType_c20261009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October 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3_edei--EntityRegistrantName_c2026"/>
      <w:bookmarkEnd w:id="4"/>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480" w:type="dxa"/>
        <w:jc w:val="left"/>
        <w:tblInd w:w="0" w:type="dxa"/>
        <w:tblLayout w:type="fixed"/>
        <w:tblCellMar>
          <w:top w:w="0" w:type="dxa"/>
          <w:left w:w="0" w:type="dxa"/>
          <w:bottom w:w="28" w:type="dxa"/>
          <w:right w:w="0" w:type="dxa"/>
        </w:tblCellMar>
      </w:tblPr>
      <w:tblGrid>
        <w:gridCol w:w="2210"/>
        <w:gridCol w:w="60"/>
        <w:gridCol w:w="2615"/>
        <w:gridCol w:w="60"/>
        <w:gridCol w:w="1535"/>
      </w:tblGrid>
      <w:tr>
        <w:trPr/>
        <w:tc>
          <w:tcPr>
            <w:tcW w:w="2210" w:type="dxa"/>
            <w:tcBorders>
              <w:bottom w:val="single" w:sz="12" w:space="0" w:color="000000"/>
            </w:tcBorders>
            <w:vAlign w:val="center"/>
          </w:tcPr>
          <w:p>
            <w:pPr>
              <w:pStyle w:val="TableContents"/>
              <w:bidi w:val="0"/>
              <w:spacing w:before="0" w:after="283"/>
              <w:jc w:val="center"/>
              <w:rPr>
                <w:b/>
              </w:rPr>
            </w:pPr>
            <w:bookmarkStart w:id="5" w:name="xdx_904_edei--EntityIncorporationStateCo"/>
            <w:bookmarkEnd w:id="5"/>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26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0_edei--EntityFileNumber_c20261009"/>
            <w:bookmarkEnd w:id="6"/>
            <w:r>
              <w:rPr>
                <w:rFonts w:ascii="Times New Roman;Times;Serif" w:hAnsi="Times New Roman;Times;Serif"/>
                <w:b/>
                <w:sz w:val="20"/>
              </w:rPr>
              <w:t>001-38764</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b/>
              </w:rPr>
            </w:pPr>
            <w:bookmarkStart w:id="7" w:name="xdx_902_edei--EntityTaxIdentificationNum"/>
            <w:bookmarkEnd w:id="7"/>
            <w:r>
              <w:rPr>
                <w:b/>
              </w:rPr>
              <w:t>42-3265309</w:t>
            </w:r>
          </w:p>
        </w:tc>
      </w:tr>
      <w:tr>
        <w:trPr/>
        <w:tc>
          <w:tcPr>
            <w:tcW w:w="22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870" w:type="dxa"/>
        <w:jc w:val="left"/>
        <w:tblInd w:w="0" w:type="dxa"/>
        <w:tblLayout w:type="fixed"/>
        <w:tblCellMar>
          <w:top w:w="0" w:type="dxa"/>
          <w:left w:w="0" w:type="dxa"/>
          <w:bottom w:w="0" w:type="dxa"/>
          <w:right w:w="0" w:type="dxa"/>
        </w:tblCellMar>
      </w:tblPr>
      <w:tblGrid>
        <w:gridCol w:w="75"/>
        <w:gridCol w:w="5720"/>
        <w:gridCol w:w="75"/>
      </w:tblGrid>
      <w:tr>
        <w:trPr/>
        <w:tc>
          <w:tcPr>
            <w:tcW w:w="75" w:type="dxa"/>
            <w:tcBorders/>
            <w:vAlign w:val="center"/>
          </w:tcPr>
          <w:p>
            <w:pPr>
              <w:pStyle w:val="TableContents"/>
              <w:bidi w:val="0"/>
              <w:spacing w:before="0" w:after="283"/>
              <w:jc w:val="center"/>
              <w:rPr/>
            </w:pPr>
            <w:r>
              <w:rPr/>
              <w:t> </w:t>
            </w:r>
          </w:p>
        </w:tc>
        <w:tc>
          <w:tcPr>
            <w:tcW w:w="5720" w:type="dxa"/>
            <w:tcBorders>
              <w:bottom w:val="single" w:sz="12" w:space="0" w:color="000000"/>
            </w:tcBorders>
            <w:tcMar>
              <w:bottom w:w="28" w:type="dxa"/>
            </w:tcMar>
            <w:vAlign w:val="center"/>
          </w:tcPr>
          <w:p>
            <w:pPr>
              <w:pStyle w:val="TableContents"/>
              <w:bidi w:val="0"/>
              <w:spacing w:before="0" w:after="283"/>
              <w:jc w:val="center"/>
              <w:rPr>
                <w:b/>
              </w:rPr>
            </w:pPr>
            <w:bookmarkStart w:id="8" w:name="xdx_900_edei--EntityAddressAddressLine1_"/>
            <w:bookmarkEnd w:id="8"/>
            <w:r>
              <w:rPr>
                <w:b/>
              </w:rPr>
              <w:t xml:space="preserve">116 Village Boulevard, </w:t>
            </w:r>
            <w:bookmarkStart w:id="9" w:name="xdx_90F_edei--EntityAddressAddressLine2_"/>
            <w:bookmarkEnd w:id="9"/>
            <w:r>
              <w:rPr>
                <w:b/>
              </w:rPr>
              <w:t xml:space="preserve">Suite 200, </w:t>
            </w:r>
            <w:bookmarkStart w:id="10" w:name="xdx_905_edei--EntityAddressCityOrTown_c2"/>
            <w:bookmarkEnd w:id="10"/>
            <w:r>
              <w:rPr>
                <w:b/>
              </w:rPr>
              <w:t xml:space="preserve">Princeton, </w:t>
            </w:r>
            <w:bookmarkStart w:id="11" w:name="xdx_909_edei--EntityAddressStateOrProvin"/>
            <w:bookmarkEnd w:id="11"/>
            <w:r>
              <w:rPr>
                <w:b/>
              </w:rPr>
              <w:t xml:space="preserve">NJ </w:t>
            </w:r>
            <w:bookmarkStart w:id="12" w:name="xdx_906_edei--EntityAddressPostalZipCode"/>
            <w:bookmarkEnd w:id="12"/>
            <w:r>
              <w:rPr>
                <w:b/>
              </w:rPr>
              <w:t>08540</w:t>
            </w:r>
          </w:p>
        </w:tc>
        <w:tc>
          <w:tcPr>
            <w:tcW w:w="75"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center"/>
              <w:rPr/>
            </w:pPr>
            <w:r>
              <w:rPr/>
              <w:t> </w:t>
            </w:r>
          </w:p>
        </w:tc>
        <w:tc>
          <w:tcPr>
            <w:tcW w:w="5720" w:type="dxa"/>
            <w:tcBorders/>
            <w:vAlign w:val="center"/>
          </w:tcPr>
          <w:p>
            <w:pPr>
              <w:pStyle w:val="TableContents"/>
              <w:bidi w:val="0"/>
              <w:spacing w:before="0" w:after="283"/>
              <w:jc w:val="center"/>
              <w:rPr/>
            </w:pPr>
            <w:r>
              <w:rPr/>
              <w:t>(Address of Principal Executive Offices, including zip code)</w:t>
            </w:r>
          </w:p>
        </w:tc>
        <w:tc>
          <w:tcPr>
            <w:tcW w:w="7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1_edei--CityAreaCode_c20261009__20"/>
      <w:bookmarkEnd w:id="13"/>
      <w:r>
        <w:rPr>
          <w:rFonts w:ascii="Times New Roman;Times;Serif" w:hAnsi="Times New Roman;Times;Serif"/>
          <w:b w:val="false"/>
          <w:i w:val="false"/>
          <w:caps w:val="false"/>
          <w:smallCaps w:val="false"/>
          <w:sz w:val="20"/>
        </w:rPr>
        <w:t>609-</w:t>
      </w:r>
      <w:bookmarkStart w:id="14" w:name="xdx_90D_edei--LocalPhoneNumber_c20261009"/>
      <w:bookmarkEnd w:id="14"/>
      <w:r>
        <w:rPr>
          <w:rFonts w:ascii="Times New Roman;Times;Serif" w:hAnsi="Times New Roman;Times;Serif"/>
          <w:b w:val="false"/>
          <w:i w:val="false"/>
          <w:caps w:val="false"/>
          <w:smallCaps w:val="false"/>
          <w:sz w:val="20"/>
        </w:rPr>
        <w:t>951-2222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Aptorum Group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5" w:name="xdx_90C_edei--EntityAddressAddressLine1_"/>
      <w:bookmarkEnd w:id="15"/>
      <w:r>
        <w:rPr>
          <w:rFonts w:ascii="Times New Roman;Times;Serif" w:hAnsi="Times New Roman;Times;Serif"/>
          <w:b w:val="false"/>
          <w:i w:val="false"/>
          <w:caps w:val="false"/>
          <w:smallCaps w:val="false"/>
          <w:sz w:val="20"/>
        </w:rPr>
        <w:t>17 Hanover Square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6" w:name="xdx_90A_edei--EntityAddressCityOrTown_c2"/>
      <w:bookmarkEnd w:id="16"/>
      <w:r>
        <w:rPr>
          <w:rFonts w:ascii="Times New Roman;Times;Serif" w:hAnsi="Times New Roman;Times;Serif"/>
          <w:b w:val="false"/>
          <w:i w:val="false"/>
          <w:caps w:val="false"/>
          <w:smallCaps w:val="false"/>
          <w:sz w:val="20"/>
        </w:rPr>
        <w:t xml:space="preserve">London </w:t>
      </w:r>
      <w:bookmarkStart w:id="17" w:name="xdx_90A_edei--EntityAddressPostalZipCode"/>
      <w:bookmarkEnd w:id="17"/>
      <w:r>
        <w:rPr>
          <w:rFonts w:ascii="Times New Roman;Times;Serif" w:hAnsi="Times New Roman;Times;Serif"/>
          <w:b w:val="false"/>
          <w:i w:val="false"/>
          <w:caps w:val="false"/>
          <w:smallCaps w:val="false"/>
          <w:sz w:val="20"/>
        </w:rPr>
        <w:t xml:space="preserve">W1S 1BN, </w:t>
      </w:r>
      <w:bookmarkStart w:id="18" w:name="xdx_906_edei--EntityAddressCountry_c2026"/>
      <w:bookmarkEnd w:id="18"/>
      <w:r>
        <w:rPr>
          <w:rFonts w:ascii="Times New Roman;Times;Serif" w:hAnsi="Times New Roman;Times;Serif"/>
          <w:b w:val="false"/>
          <w:i w:val="false"/>
          <w:caps w:val="false"/>
          <w:smallCaps w:val="false"/>
          <w:sz w:val="20"/>
        </w:rPr>
        <w:t>United Kingdom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9" w:name="xdx_90D_edei--WrittenCommunications_c202"/>
            <w:bookmarkEnd w:id="19"/>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20" w:name="xdx_90D_edei--SolicitingMaterial_c202610"/>
            <w:bookmarkEnd w:id="20"/>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21" w:name="xdx_903_edei--PreCommencementTenderOffer"/>
            <w:bookmarkEnd w:id="21"/>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22" w:name="xdx_903_edei--PreCommencementIssuerTende"/>
            <w:bookmarkEnd w:id="22"/>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993"/>
        <w:gridCol w:w="60"/>
        <w:gridCol w:w="1851"/>
        <w:gridCol w:w="60"/>
        <w:gridCol w:w="4241"/>
      </w:tblGrid>
      <w:tr>
        <w:trPr/>
        <w:tc>
          <w:tcPr>
            <w:tcW w:w="3993"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851"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4241"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3993" w:type="dxa"/>
            <w:tcBorders/>
            <w:shd w:fill="CCEEFF" w:val="clear"/>
            <w:tcMar>
              <w:bottom w:w="0" w:type="dxa"/>
            </w:tcMar>
            <w:vAlign w:val="center"/>
          </w:tcPr>
          <w:p>
            <w:pPr>
              <w:pStyle w:val="TableContents"/>
              <w:bidi w:val="0"/>
              <w:spacing w:before="0" w:after="283"/>
              <w:jc w:val="center"/>
              <w:rPr/>
            </w:pPr>
            <w:bookmarkStart w:id="23" w:name="xdx_906_edei--Security12bTitle_c20261009"/>
            <w:bookmarkEnd w:id="23"/>
            <w:r>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51" w:type="dxa"/>
            <w:tcBorders/>
            <w:shd w:fill="CCEEFF" w:val="clear"/>
            <w:tcMar>
              <w:bottom w:w="0" w:type="dxa"/>
            </w:tcMar>
            <w:vAlign w:val="center"/>
          </w:tcPr>
          <w:p>
            <w:pPr>
              <w:pStyle w:val="TableContents"/>
              <w:bidi w:val="0"/>
              <w:spacing w:before="0" w:after="283"/>
              <w:jc w:val="center"/>
              <w:rPr/>
            </w:pPr>
            <w:bookmarkStart w:id="24" w:name="xdx_90C_edei--TradingSymbol_c20261009__2"/>
            <w:bookmarkEnd w:id="24"/>
            <w:r>
              <w:rPr/>
              <w:t>NIKI</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241" w:type="dxa"/>
            <w:tcBorders/>
            <w:shd w:fill="CCEEFF" w:val="clear"/>
            <w:tcMar>
              <w:bottom w:w="0" w:type="dxa"/>
            </w:tcMar>
            <w:vAlign w:val="center"/>
          </w:tcPr>
          <w:p>
            <w:pPr>
              <w:pStyle w:val="TableContents"/>
              <w:bidi w:val="0"/>
              <w:spacing w:before="0" w:after="283"/>
              <w:jc w:val="center"/>
              <w:rPr/>
            </w:pPr>
            <w:r>
              <w:rPr/>
              <w:t xml:space="preserve">The </w:t>
            </w:r>
            <w:bookmarkStart w:id="25" w:name="xdx_90F_edei--SecurityExchangeName_c2026"/>
            <w:bookmarkEnd w:id="25"/>
            <w:r>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6" w:name="xdx_909_edei--EntityEmergingGrowthCompan"/>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9, 2026, Niki BioSolutions, Inc. (the “Company”), entered into an </w:t>
      </w:r>
      <w:r>
        <w:rPr>
          <w:rFonts w:ascii="Times New Roman;Times;Serif" w:hAnsi="Times New Roman;Times;Serif"/>
          <w:b w:val="false"/>
          <w:i w:val="false"/>
          <w:caps w:val="false"/>
          <w:smallCaps w:val="false"/>
          <w:sz w:val="20"/>
          <w:shd w:fill="FFFFFF" w:val="clear"/>
        </w:rPr>
        <w:t xml:space="preserve">At the Market Offering Agreement, dated October 9, 2026, </w:t>
      </w:r>
      <w:r>
        <w:rPr>
          <w:rFonts w:ascii="Times New Roman;Times;Serif" w:hAnsi="Times New Roman;Times;Serif"/>
          <w:b w:val="false"/>
          <w:i w:val="false"/>
          <w:caps w:val="false"/>
          <w:smallCaps w:val="false"/>
          <w:sz w:val="20"/>
        </w:rPr>
        <w:t>(the “</w:t>
      </w:r>
      <w:r>
        <w:rPr>
          <w:rFonts w:ascii="Times New Roman;Times;Serif" w:hAnsi="Times New Roman;Times;Serif"/>
          <w:b/>
          <w:i/>
          <w:caps w:val="false"/>
          <w:smallCaps w:val="false"/>
          <w:sz w:val="20"/>
        </w:rPr>
        <w:t>Sales Agreement</w:t>
      </w:r>
      <w:r>
        <w:rPr>
          <w:rFonts w:ascii="Times New Roman;Times;Serif" w:hAnsi="Times New Roman;Times;Serif"/>
          <w:b w:val="false"/>
          <w:i w:val="false"/>
          <w:caps w:val="false"/>
          <w:smallCaps w:val="false"/>
          <w:sz w:val="20"/>
        </w:rPr>
        <w:t>”), by and among the Company</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rPr>
        <w:t>H.C. Wainwright &amp; Co., LLC (“</w:t>
      </w:r>
      <w:r>
        <w:rPr>
          <w:rFonts w:ascii="Times New Roman;Times;Serif" w:hAnsi="Times New Roman;Times;Serif"/>
          <w:b/>
          <w:i/>
          <w:caps w:val="false"/>
          <w:smallCaps w:val="false"/>
          <w:sz w:val="20"/>
        </w:rPr>
        <w:t>Wainwright</w:t>
      </w:r>
      <w:r>
        <w:rPr>
          <w:rFonts w:ascii="Times New Roman;Times;Serif" w:hAnsi="Times New Roman;Times;Serif"/>
          <w:b w:val="false"/>
          <w:i w:val="false"/>
          <w:caps w:val="false"/>
          <w:smallCaps w:val="false"/>
          <w:sz w:val="20"/>
        </w:rPr>
        <w:t>”) and Brookline Capital Markets, a division of Arcadia Securities, LLC (“</w:t>
      </w:r>
      <w:r>
        <w:rPr>
          <w:rFonts w:ascii="Times New Roman;Times;Serif" w:hAnsi="Times New Roman;Times;Serif"/>
          <w:b/>
          <w:i/>
          <w:caps w:val="false"/>
          <w:smallCaps w:val="false"/>
          <w:sz w:val="20"/>
        </w:rPr>
        <w:t>Brookline</w:t>
      </w:r>
      <w:r>
        <w:rPr>
          <w:rFonts w:ascii="Times New Roman;Times;Serif" w:hAnsi="Times New Roman;Times;Serif"/>
          <w:b w:val="false"/>
          <w:i w:val="false"/>
          <w:caps w:val="false"/>
          <w:smallCaps w:val="false"/>
          <w:sz w:val="20"/>
        </w:rPr>
        <w:t>,” collectively with Wainwright, the “</w:t>
      </w:r>
      <w:r>
        <w:rPr>
          <w:rFonts w:ascii="Times New Roman;Times;Serif" w:hAnsi="Times New Roman;Times;Serif"/>
          <w:b/>
          <w:i/>
          <w:caps w:val="false"/>
          <w:smallCaps w:val="false"/>
          <w:sz w:val="20"/>
        </w:rPr>
        <w:t>Sales Agents</w:t>
      </w:r>
      <w:r>
        <w:rPr>
          <w:rFonts w:ascii="Times New Roman;Times;Serif" w:hAnsi="Times New Roman;Times;Serif"/>
          <w:b w:val="false"/>
          <w:i w:val="false"/>
          <w:caps w:val="false"/>
          <w:smallCaps w:val="false"/>
          <w:sz w:val="20"/>
        </w:rPr>
        <w:t>”). The Sales Agreement provides for the sale and issuance by the Company of shares of its common stock, par value $0.0001 per share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from time to time, through or to the Wainwright as the Company’s sales agent and/or principal in an “at the market offering” program and as otherwise set forth in the Sales Agreement (the “</w:t>
      </w:r>
      <w:r>
        <w:rPr>
          <w:rFonts w:ascii="Times New Roman;Times;Serif" w:hAnsi="Times New Roman;Times;Serif"/>
          <w:b/>
          <w:i/>
          <w:caps w:val="false"/>
          <w:smallCaps w:val="false"/>
          <w:sz w:val="20"/>
        </w:rPr>
        <w:t>Offering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Sales Agreement, the Company may issue and sell through or to Wainwright shares of Common Stock having an aggregate maximum offering price of up to $1,396,000, subject to the limitations set forth in the Sales Agreement, including the number of authorized but unissued shares of Common Stock available for issuance and the Company’s continued satisfaction of the eligibility and transaction requirements for use of Form S-3.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9, 2026, the Company filed a prospectus supplement, dated October 9, 2026, including an accompanying base prospectus, dated October 9, 2026 (the “</w:t>
      </w:r>
      <w:r>
        <w:rPr>
          <w:rFonts w:ascii="Times New Roman;Times;Serif" w:hAnsi="Times New Roman;Times;Serif"/>
          <w:b/>
          <w:i/>
          <w:caps w:val="false"/>
          <w:smallCaps w:val="false"/>
          <w:sz w:val="20"/>
        </w:rPr>
        <w:t>ATM Prospectus Supplement</w:t>
      </w:r>
      <w:r>
        <w:rPr>
          <w:rFonts w:ascii="Times New Roman;Times;Serif" w:hAnsi="Times New Roman;Times;Serif"/>
          <w:b w:val="false"/>
          <w:i w:val="false"/>
          <w:caps w:val="false"/>
          <w:smallCaps w:val="false"/>
          <w:sz w:val="20"/>
        </w:rPr>
        <w:t>”), which together form a part of the Company’s shelf registration statement on Form S-3 (File No. 333-298608), initially filed by the Company with the U.S.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on August 28, 2026 and declared effective by the SEC on October 9, 2026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in connection with the offer and sale of shares of Common Stock pursuant to the Sales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Sales Agreement, Wainwright has agreed to use its commercially reasonable efforts to sell shares of Common Stock from time to time, subject to the terms and conditions of the Sales Agreement. The Company will designate the maximum amount of shares of Common Stock to be sold by Wainwright on any trading day and the minimum price per share at which such shares may be sold. The gross sales price of shares of Common Stock sold by Wainwright as sales agent under the Sales Agreement will be the market price for the shares of Common Stock on the applicable trading market at the time of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the Sales Agreement, Wainwright may sell shares of Common Stock by any method permitted by law deemed to be an “at the market offering” as defined in Rule 415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including, without limitation, sales made directly on the applicable trading market, on any other existing trading market for the Common Stock or to or through a market maker. Wainwright may also sell shares of Common Stock in privately negotiated transactions with the Company’s prior written approval and to the extent provided for in the applicable prospectus supplement. In addition, if the Company wishes to sell shares in a manner other than through sales by Wainwright as sales agent, the Company and Wainwright may enter into a separate terms agreement pursuant to which Wainwright may purchase shares of Common Stock as principal on terms agreed upon by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obligation to sell any shares of Common Stock under the Sales Agreement. The Company or Wainwright may suspend the offering of shares under the Sales Agreement at any time in accordance with the terms thereof. The Sales Agents are not obligated to purchase any shares of Common Stock on a principal basis under the Sales Agreement except as otherwise specifically agreed by Wainwright and the Company pursuant to a separate terms agreement. No assurance can be given that the Company will sell any shares of Common Stock under the Sales Agreement or, if any sales occur, as to the price or number of shares that will be sold or the dates on which any such sales will take 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Sales Agreement, the Company will pay Wainwright a placement fee equal to 3.0% of the gross sales price of shares of Common Stock sold by Wainwright as sales agent pursuant to the Sales Agreement. The foregoing rate of compensation does not apply when Wainwright acts as principal, in which case the Company may sell shares to Wainwright at a price agreed upon pursuant to the applicable terms agreement. The Company will also reimburse the Sales Agents for certain expenses incurred in connection with the Sales Agreement. The Company may terminate the Sales Agreement at any time upon ten business days’ prior written notice to the Sales Agents and Wainwright may terminate the Sales Agreement at any time upon prior written notice to the Company; the parties can mutually agree to terminate the Sales Agreement and Brookline has the right to terminate the provisions of the Sales Agreement pertaining to Brookline upon ten business days’ prior notice to the Company and Wainwright.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largest shareholder and one of its directors, Dr. Kira Sheinerman is a managing director of Wainwright, and therefore Wainwright is deemed to have a “conflict of interest” under FINRA Rule 5121(f)(5). Accordingly, the offering is being made in compliance with the requirements of Rule 5121, which requires, among other things, that a “qualified independent underwriter” participate in the preparation of, and exercise the usual standards of “due diligence” with respect to the offering. In accordance with FINRA Rule 5121, Wainwright is not permitted to sell shares in the offering to an account over which it exercises discretionary authority without the prior specific written approval of the account holder. Pursuant to the Sales Agreement and in accordance with Rule 5121, Brookline has agreed to act as a “qualified independent underwriter” in the offering for no additional compensation. We have agreed to indemnify Brookline against certain liabilities incurred in connection with acting as a qualified independent underwriter.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agreed to provide the Sales Agents and certain related persons with customary indemnification and contribution rights, including with respect to certain liabilities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Agreement contains customary representations and warranties, covenants and conditions to the sale of shares of Common Stock pursuant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Sales Agreement is not complete and is qualified in its entirety by reference to the full text of the Sales Agreement, a copy of which is filed herewith as Exhibit 1.1 to this Current Report on Form 8-K and incorporated herein by reference. A copy of the opinion of Hunter Taubman Fischer &amp; Li LLC regarding the validity of the shares of Common Stock that may be issued pursuant to the Sales Agreement is filed herewith as Exhibit 5.1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shall not constitute an offer to sell or the solicitation of an offer to buy the securities discussed herein, nor shall there be any sale of such securities in any state or jurisdiction in which such offer, solicitation or sale would be unlawful prior to registration or qualification under the securities laws of any such state or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82"/>
        <w:gridCol w:w="60"/>
        <w:gridCol w:w="9163"/>
      </w:tblGrid>
      <w:tr>
        <w:trPr/>
        <w:tc>
          <w:tcPr>
            <w:tcW w:w="982"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9163" w:type="dxa"/>
            <w:tcBorders>
              <w:bottom w:val="single" w:sz="12" w:space="0" w:color="000000"/>
            </w:tcBorders>
            <w:vAlign w:val="center"/>
          </w:tcPr>
          <w:p>
            <w:pPr>
              <w:pStyle w:val="TableContents"/>
              <w:bidi w:val="0"/>
              <w:spacing w:before="0" w:after="283"/>
              <w:jc w:val="left"/>
              <w:rPr>
                <w:b/>
              </w:rPr>
            </w:pPr>
            <w:r>
              <w:rPr>
                <w:b/>
              </w:rPr>
              <w:t>Description</w:t>
            </w:r>
          </w:p>
        </w:tc>
      </w:tr>
      <w:tr>
        <w:trPr/>
        <w:tc>
          <w:tcPr>
            <w:tcW w:w="982" w:type="dxa"/>
            <w:tcBorders/>
            <w:shd w:fill="CCEEFF" w:val="clear"/>
            <w:tcMar>
              <w:bottom w:w="0" w:type="dxa"/>
            </w:tcMar>
            <w:vAlign w:val="center"/>
          </w:tcPr>
          <w:p>
            <w:pPr>
              <w:pStyle w:val="TableContents"/>
              <w:bidi w:val="0"/>
              <w:spacing w:before="0" w:after="283"/>
              <w:jc w:val="left"/>
              <w:rPr/>
            </w:pPr>
            <w:r>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63" w:type="dxa"/>
            <w:tcBorders/>
            <w:shd w:fill="CCEEFF" w:val="clear"/>
            <w:tcMar>
              <w:bottom w:w="0" w:type="dxa"/>
            </w:tcMar>
            <w:vAlign w:val="center"/>
          </w:tcPr>
          <w:p>
            <w:pPr>
              <w:pStyle w:val="TableContents"/>
              <w:bidi w:val="0"/>
              <w:spacing w:before="0" w:after="283"/>
              <w:jc w:val="both"/>
              <w:rPr/>
            </w:pPr>
            <w:hyperlink w:anchor="ea030826301ex1-1.htm">
              <w:r>
                <w:rPr>
                  <w:rStyle w:val="InternetLink"/>
                </w:rPr>
                <w:t>At the Market Offering Agreement, dated October 9, 2026, by and between the Company, H.C. Wainwright &amp; Co., LLC and Brookline Capital Markets, a division of Arcadia Securities, LLC</w:t>
              </w:r>
            </w:hyperlink>
          </w:p>
        </w:tc>
      </w:tr>
      <w:tr>
        <w:trPr/>
        <w:tc>
          <w:tcPr>
            <w:tcW w:w="982" w:type="dxa"/>
            <w:tcBorders/>
            <w:shd w:fill="FFFFFF" w:val="clear"/>
            <w:tcMar>
              <w:bottom w:w="0" w:type="dxa"/>
            </w:tcMar>
            <w:vAlign w:val="center"/>
          </w:tcPr>
          <w:p>
            <w:pPr>
              <w:pStyle w:val="TableContents"/>
              <w:bidi w:val="0"/>
              <w:spacing w:before="0" w:after="283"/>
              <w:jc w:val="left"/>
              <w:rPr/>
            </w:pPr>
            <w:r>
              <w:rPr/>
              <w:t>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63" w:type="dxa"/>
            <w:tcBorders/>
            <w:shd w:fill="FFFFFF" w:val="clear"/>
            <w:tcMar>
              <w:bottom w:w="0" w:type="dxa"/>
            </w:tcMar>
            <w:vAlign w:val="center"/>
          </w:tcPr>
          <w:p>
            <w:pPr>
              <w:pStyle w:val="TableContents"/>
              <w:bidi w:val="0"/>
              <w:spacing w:before="0" w:after="283"/>
              <w:jc w:val="left"/>
              <w:rPr/>
            </w:pPr>
            <w:hyperlink w:anchor="ea030826301ex5-1.htm">
              <w:r>
                <w:rPr>
                  <w:rStyle w:val="InternetLink"/>
                </w:rPr>
                <w:t>Opinion of Hunter Taubman Fischer &amp; Li LLC</w:t>
              </w:r>
            </w:hyperlink>
          </w:p>
        </w:tc>
      </w:tr>
      <w:tr>
        <w:trPr/>
        <w:tc>
          <w:tcPr>
            <w:tcW w:w="982" w:type="dxa"/>
            <w:tcBorders/>
            <w:shd w:fill="CCEEFF" w:val="clear"/>
            <w:tcMar>
              <w:bottom w:w="0" w:type="dxa"/>
            </w:tcMar>
            <w:vAlign w:val="center"/>
          </w:tcPr>
          <w:p>
            <w:pPr>
              <w:pStyle w:val="TableContents"/>
              <w:bidi w:val="0"/>
              <w:spacing w:before="0" w:after="283"/>
              <w:jc w:val="left"/>
              <w:rPr/>
            </w:pPr>
            <w:r>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63" w:type="dxa"/>
            <w:tcBorders/>
            <w:shd w:fill="CCEEFF" w:val="clear"/>
            <w:tcMar>
              <w:bottom w:w="0" w:type="dxa"/>
            </w:tcMar>
            <w:vAlign w:val="center"/>
          </w:tcPr>
          <w:p>
            <w:pPr>
              <w:pStyle w:val="TableContents"/>
              <w:bidi w:val="0"/>
              <w:spacing w:before="0" w:after="283"/>
              <w:jc w:val="left"/>
              <w:rPr/>
            </w:pPr>
            <w:hyperlink w:anchor="ea030826301ex5-1.htm">
              <w:r>
                <w:rPr>
                  <w:rStyle w:val="InternetLink"/>
                </w:rPr>
                <w:t>Consent of Hunter Taubman Fischer &amp; Li LLC (contained in Exhibit 5.1)</w:t>
              </w:r>
            </w:hyperlink>
          </w:p>
        </w:tc>
      </w:tr>
      <w:tr>
        <w:trPr/>
        <w:tc>
          <w:tcPr>
            <w:tcW w:w="982" w:type="dxa"/>
            <w:tcBorders/>
            <w:shd w:fill="FFFFFF" w:val="clear"/>
            <w:tcMar>
              <w:bottom w:w="0" w:type="dxa"/>
            </w:tcMar>
            <w:vAlign w:val="center"/>
          </w:tcPr>
          <w:p>
            <w:pPr>
              <w:pStyle w:val="TableContents"/>
              <w:bidi w:val="0"/>
              <w:spacing w:before="0" w:after="283"/>
              <w:jc w:val="left"/>
              <w:rPr/>
            </w:pPr>
            <w:r>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63" w:type="dxa"/>
            <w:tcBorders/>
            <w:shd w:fill="FFFFFF" w:val="clear"/>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9, 2026</w:t>
      </w:r>
    </w:p>
    <w:p>
      <w:pPr>
        <w:pStyle w:val="TextBody"/>
        <w:bidi w:val="0"/>
        <w:spacing w:before="0" w:after="0"/>
        <w:ind w:left="0" w:right="0" w:hanging="0"/>
        <w:jc w:val="left"/>
        <w:rPr>
          <w:caps w:val="false"/>
          <w:smallCaps w:val="false"/>
        </w:rPr>
      </w:pPr>
      <w:r>
        <w:rPr>
          <w:caps w:val="false"/>
          <w:smallCaps w:val="false"/>
        </w:rPr>
        <w:t> </w:t>
      </w:r>
    </w:p>
    <w:tbl>
      <w:tblPr>
        <w:tblW w:w="3184" w:type="dxa"/>
        <w:jc w:val="left"/>
        <w:tblInd w:w="0" w:type="dxa"/>
        <w:tblLayout w:type="fixed"/>
        <w:tblCellMar>
          <w:top w:w="0" w:type="dxa"/>
          <w:left w:w="0" w:type="dxa"/>
          <w:bottom w:w="0" w:type="dxa"/>
          <w:right w:w="0" w:type="dxa"/>
        </w:tblCellMar>
      </w:tblPr>
      <w:tblGrid>
        <w:gridCol w:w="75"/>
        <w:gridCol w:w="425"/>
        <w:gridCol w:w="2684"/>
      </w:tblGrid>
      <w:tr>
        <w:trPr/>
        <w:tc>
          <w:tcPr>
            <w:tcW w:w="75"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left"/>
              <w:rPr>
                <w:b/>
              </w:rPr>
            </w:pPr>
            <w:r>
              <w:rPr>
                <w:b/>
              </w:rPr>
              <w:t>NIKI BIOSOLUTIONS, INC.</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26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By:</w:t>
            </w:r>
          </w:p>
        </w:tc>
        <w:tc>
          <w:tcPr>
            <w:tcW w:w="2684" w:type="dxa"/>
            <w:tcBorders>
              <w:bottom w:val="single" w:sz="12" w:space="0" w:color="000000"/>
            </w:tcBorders>
            <w:tcMar>
              <w:bottom w:w="28" w:type="dxa"/>
            </w:tcMar>
            <w:vAlign w:val="center"/>
          </w:tcPr>
          <w:p>
            <w:pPr>
              <w:pStyle w:val="TableContents"/>
              <w:bidi w:val="0"/>
              <w:spacing w:before="0" w:after="283"/>
              <w:jc w:val="left"/>
              <w:rPr>
                <w:i/>
              </w:rPr>
            </w:pPr>
            <w:r>
              <w:rPr>
                <w:i/>
              </w:rPr>
              <w:t>/s/ Ian Huen</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2684" w:type="dxa"/>
            <w:tcBorders/>
            <w:vAlign w:val="center"/>
          </w:tcPr>
          <w:p>
            <w:pPr>
              <w:pStyle w:val="TableContents"/>
              <w:bidi w:val="0"/>
              <w:spacing w:before="0" w:after="283"/>
              <w:jc w:val="left"/>
              <w:rPr/>
            </w:pPr>
            <w:r>
              <w:rPr/>
              <w:t>Ian Huen</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2684"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jc w:val="right"/>
        <w:rPr>
          <w:b/>
        </w:rPr>
      </w:pPr>
      <w:bookmarkStart w:id="27" w:name="ea030826301ex1-1.htm"/>
      <w:bookmarkStart w:id="28" w:name="ksea030826301ex11"/>
      <w:bookmarkEnd w:id="27"/>
      <w:bookmarkEnd w:id="28"/>
      <w:r>
        <w:rPr>
          <w:b/>
        </w:rPr>
        <w:t>Exhibit 1.1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THE MARKET OFFERING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5040" w:right="153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9, 2026</w:t>
      </w:r>
    </w:p>
    <w:p>
      <w:pPr>
        <w:pStyle w:val="TextBody"/>
        <w:bidi w:val="0"/>
        <w:spacing w:before="0" w:after="0"/>
        <w:ind w:left="1995" w:right="1995" w:hanging="0"/>
        <w:jc w:val="both"/>
        <w:rPr>
          <w:caps w:val="false"/>
          <w:smallCaps w:val="false"/>
        </w:rPr>
      </w:pPr>
      <w:r>
        <w:rPr>
          <w:caps w:val="false"/>
          <w:smallCaps w:val="false"/>
        </w:rPr>
        <w:t> </w:t>
      </w:r>
    </w:p>
    <w:p>
      <w:pPr>
        <w:pStyle w:val="TextBody"/>
        <w:bidi w:val="0"/>
        <w:spacing w:before="0" w:after="0"/>
        <w:ind w:left="1995" w:right="199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 Wainwright &amp; Co., LLC</w:t>
      </w:r>
    </w:p>
    <w:p>
      <w:pPr>
        <w:pStyle w:val="TextBody"/>
        <w:bidi w:val="0"/>
        <w:spacing w:before="0" w:after="0"/>
        <w:ind w:left="1995" w:right="199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 Park Avenue</w:t>
      </w:r>
    </w:p>
    <w:p>
      <w:pPr>
        <w:pStyle w:val="TextBody"/>
        <w:bidi w:val="0"/>
        <w:spacing w:before="0" w:after="0"/>
        <w:ind w:left="1995" w:right="199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w:t>
      </w:r>
    </w:p>
    <w:p>
      <w:pPr>
        <w:pStyle w:val="TextBody"/>
        <w:bidi w:val="0"/>
        <w:spacing w:before="0" w:after="0"/>
        <w:ind w:left="1995" w:right="1995" w:hanging="0"/>
        <w:jc w:val="both"/>
        <w:rPr>
          <w:caps w:val="false"/>
          <w:smallCaps w:val="false"/>
        </w:rPr>
      </w:pPr>
      <w:r>
        <w:rPr>
          <w:caps w:val="false"/>
          <w:smallCaps w:val="false"/>
        </w:rPr>
        <w:t> </w:t>
      </w:r>
    </w:p>
    <w:p>
      <w:pPr>
        <w:pStyle w:val="TextBody"/>
        <w:bidi w:val="0"/>
        <w:spacing w:before="0" w:after="0"/>
        <w:ind w:left="1995" w:right="199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Brookline Capital Markets,</w:t>
      </w:r>
    </w:p>
    <w:p>
      <w:pPr>
        <w:pStyle w:val="TextBody"/>
        <w:bidi w:val="0"/>
        <w:spacing w:before="0" w:after="0"/>
        <w:ind w:left="1995" w:right="199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division of Arcadia Securities, LLC</w:t>
      </w:r>
    </w:p>
    <w:p>
      <w:pPr>
        <w:pStyle w:val="TextBody"/>
        <w:bidi w:val="0"/>
        <w:spacing w:before="0" w:after="0"/>
        <w:ind w:left="1995" w:right="199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 Lexington Avenue, Floor 30</w:t>
      </w:r>
    </w:p>
    <w:p>
      <w:pPr>
        <w:pStyle w:val="TextBody"/>
        <w:bidi w:val="0"/>
        <w:spacing w:before="0" w:after="0"/>
        <w:ind w:left="1995" w:right="199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10022</w:t>
      </w:r>
    </w:p>
    <w:p>
      <w:pPr>
        <w:pStyle w:val="TextBody"/>
        <w:bidi w:val="0"/>
        <w:spacing w:before="0" w:after="0"/>
        <w:ind w:left="1995" w:right="1995" w:hanging="0"/>
        <w:jc w:val="both"/>
        <w:rPr>
          <w:caps w:val="false"/>
          <w:smallCaps w:val="false"/>
        </w:rPr>
      </w:pPr>
      <w:r>
        <w:rPr>
          <w:caps w:val="false"/>
          <w:smallCaps w:val="false"/>
        </w:rPr>
        <w:t> </w:t>
      </w:r>
    </w:p>
    <w:p>
      <w:pPr>
        <w:pStyle w:val="TextBody"/>
        <w:bidi w:val="0"/>
        <w:spacing w:before="0" w:after="0"/>
        <w:ind w:left="720" w:right="1995"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720" w:right="1995"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Niki BioSolutions, Inc., a corporation organized under the laws of Delaware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confirms its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with H.C. Wainwright &amp; Co., LLC (“</w:t>
      </w:r>
      <w:r>
        <w:rPr>
          <w:rFonts w:ascii="Times New Roman;Times;Serif" w:hAnsi="Times New Roman;Times;Serif"/>
          <w:b w:val="false"/>
          <w:i w:val="false"/>
          <w:caps w:val="false"/>
          <w:smallCaps w:val="false"/>
          <w:sz w:val="20"/>
          <w:u w:val="single"/>
        </w:rPr>
        <w:t>Wainwright</w:t>
      </w:r>
      <w:r>
        <w:rPr>
          <w:rFonts w:ascii="Times New Roman;Times;Serif" w:hAnsi="Times New Roman;Times;Serif"/>
          <w:b w:val="false"/>
          <w:i w:val="false"/>
          <w:caps w:val="false"/>
          <w:smallCaps w:val="false"/>
          <w:sz w:val="20"/>
        </w:rPr>
        <w:t>” or the “</w:t>
      </w:r>
      <w:r>
        <w:rPr>
          <w:rFonts w:ascii="Times New Roman;Times;Serif" w:hAnsi="Times New Roman;Times;Serif"/>
          <w:b w:val="false"/>
          <w:i w:val="false"/>
          <w:caps w:val="false"/>
          <w:smallCaps w:val="false"/>
          <w:sz w:val="20"/>
          <w:u w:val="single"/>
        </w:rPr>
        <w:t>Selling Manager</w:t>
      </w:r>
      <w:r>
        <w:rPr>
          <w:rFonts w:ascii="Times New Roman;Times;Serif" w:hAnsi="Times New Roman;Times;Serif"/>
          <w:b w:val="false"/>
          <w:i w:val="false"/>
          <w:caps w:val="false"/>
          <w:smallCaps w:val="false"/>
          <w:sz w:val="20"/>
        </w:rPr>
        <w:t>”) and Brookline Capital Markets, a division of Arcadia Securities, LLC (“</w:t>
      </w:r>
      <w:r>
        <w:rPr>
          <w:rFonts w:ascii="Times New Roman;Times;Serif" w:hAnsi="Times New Roman;Times;Serif"/>
          <w:b w:val="false"/>
          <w:i w:val="false"/>
          <w:caps w:val="false"/>
          <w:smallCaps w:val="false"/>
          <w:sz w:val="20"/>
          <w:u w:val="single"/>
        </w:rPr>
        <w:t>Brookline</w:t>
      </w:r>
      <w:r>
        <w:rPr>
          <w:rFonts w:ascii="Times New Roman;Times;Serif" w:hAnsi="Times New Roman;Times;Serif"/>
          <w:b w:val="false"/>
          <w:i w:val="false"/>
          <w:caps w:val="false"/>
          <w:smallCaps w:val="false"/>
          <w:sz w:val="20"/>
        </w:rPr>
        <w:t>” and, collectively with Wainwright, the “</w:t>
      </w:r>
      <w:r>
        <w:rPr>
          <w:rFonts w:ascii="Times New Roman;Times;Serif" w:hAnsi="Times New Roman;Times;Serif"/>
          <w:b w:val="false"/>
          <w:i w:val="false"/>
          <w:caps w:val="false"/>
          <w:smallCaps w:val="false"/>
          <w:sz w:val="20"/>
          <w:u w:val="single"/>
        </w:rPr>
        <w:t>Managers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Manager</w:t>
      </w:r>
      <w:r>
        <w:rPr>
          <w:rFonts w:ascii="Times New Roman;Times;Serif" w:hAnsi="Times New Roman;Times;Serif"/>
          <w:b w:val="false"/>
          <w:i w:val="false"/>
          <w:caps w:val="false"/>
          <w:smallCaps w:val="false"/>
          <w:sz w:val="20"/>
        </w:rPr>
        <w:t>”)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The terms that follow, when used in this Agreement and any Terms Agreement, shall have the meanings indicated.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Accountants</w:t>
      </w:r>
      <w:r>
        <w:rPr>
          <w:rFonts w:ascii="Times New Roman;Times;Serif" w:hAnsi="Times New Roman;Times;Serif"/>
          <w:b w:val="false"/>
          <w:i w:val="false"/>
          <w:caps w:val="false"/>
          <w:smallCaps w:val="false"/>
          <w:sz w:val="20"/>
        </w:rPr>
        <w:t>” shall have the meaning ascribed to such term in Section 4(m).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shall mean the Securities Act of 1933, as amended, and the rules and regulations of the Commission promulgated thereunder.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shall have the meaning ascribed to such term in Section 3(p).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shall have the meaning ascribed to such term in Section 3(o).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Time</w:t>
      </w:r>
      <w:r>
        <w:rPr>
          <w:rFonts w:ascii="Times New Roman;Times;Serif" w:hAnsi="Times New Roman;Times;Serif"/>
          <w:b w:val="false"/>
          <w:i w:val="false"/>
          <w:caps w:val="false"/>
          <w:smallCaps w:val="false"/>
          <w:sz w:val="20"/>
        </w:rPr>
        <w:t>” shall mean, with respect to any Shares, the time of sale of such Shares pursuant to this Agreement or any relevant Terms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Prospectus</w:t>
      </w:r>
      <w:r>
        <w:rPr>
          <w:rFonts w:ascii="Times New Roman;Times;Serif" w:hAnsi="Times New Roman;Times;Serif"/>
          <w:b w:val="false"/>
          <w:i w:val="false"/>
          <w:caps w:val="false"/>
          <w:smallCaps w:val="false"/>
          <w:sz w:val="20"/>
        </w:rPr>
        <w:t>” shall mean the base prospectus contained in the Registration Statement at the Execution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shall have the meaning ascribed to such term in Section 2(b)(iii).</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Broker Fee</w:t>
      </w:r>
      <w:r>
        <w:rPr>
          <w:rFonts w:ascii="Times New Roman;Times;Serif" w:hAnsi="Times New Roman;Times;Serif"/>
          <w:b w:val="false"/>
          <w:i w:val="false"/>
          <w:caps w:val="false"/>
          <w:smallCaps w:val="false"/>
          <w:sz w:val="20"/>
        </w:rPr>
        <w:t>” shall have the meaning ascribed to such term in Section 2(b)(v).</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shall mean any day other than Saturday, Sunday or other day on which commercial banks in The City of New York are authorized or required by law to remain closed;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for purposes of clarity,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shall mean the United States Securities and Exchange Commission.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shall have the meaning ascribed to such term in Section 2.</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 Equivalents</w:t>
      </w:r>
      <w:r>
        <w:rPr>
          <w:rFonts w:ascii="Times New Roman;Times;Serif" w:hAnsi="Times New Roman;Times;Serif"/>
          <w:b w:val="false"/>
          <w:i w:val="false"/>
          <w:caps w:val="false"/>
          <w:smallCaps w:val="false"/>
          <w:sz w:val="20"/>
        </w:rPr>
        <w:t>” shall have the meaning ascribed to such term in Section 3(g).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Counsel</w:t>
      </w:r>
      <w:r>
        <w:rPr>
          <w:rFonts w:ascii="Times New Roman;Times;Serif" w:hAnsi="Times New Roman;Times;Serif"/>
          <w:b w:val="false"/>
          <w:i w:val="false"/>
          <w:caps w:val="false"/>
          <w:smallCaps w:val="false"/>
          <w:sz w:val="20"/>
        </w:rPr>
        <w:t>” shall have the meaning ascribed to such term in Section 4(l).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shall have the meaning ascribed to such term in Section 2(b)(vii).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shall mean each date and time that the Registration Statement and any post-effective amendment or amendments thereto became or becomes effective.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shall mean the Securities Exchange Act of 1934, as amended, and the rules and regulations of the Commission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Execution Time</w:t>
      </w:r>
      <w:r>
        <w:rPr>
          <w:rFonts w:ascii="Times New Roman;Times;Serif" w:hAnsi="Times New Roman;Times;Serif"/>
          <w:b w:val="false"/>
          <w:i w:val="false"/>
          <w:caps w:val="false"/>
          <w:smallCaps w:val="false"/>
          <w:sz w:val="20"/>
        </w:rPr>
        <w:t>” shall mean the date and time that this Agreement is executed and delivered by the parties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Free Writing Prospectus</w:t>
      </w:r>
      <w:r>
        <w:rPr>
          <w:rFonts w:ascii="Times New Roman;Times;Serif" w:hAnsi="Times New Roman;Times;Serif"/>
          <w:b w:val="false"/>
          <w:i w:val="false"/>
          <w:caps w:val="false"/>
          <w:smallCaps w:val="false"/>
          <w:sz w:val="20"/>
        </w:rPr>
        <w:t>” shall mean a free writing prospectus, as defined in Rule 405.</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shall have the meaning ascribed to such term in Section 3(m).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Incorporated Documents</w:t>
      </w:r>
      <w:r>
        <w:rPr>
          <w:rFonts w:ascii="Times New Roman;Times;Serif" w:hAnsi="Times New Roman;Times;Serif"/>
          <w:b w:val="false"/>
          <w:i w:val="false"/>
          <w:caps w:val="false"/>
          <w:smallCaps w:val="false"/>
          <w:sz w:val="20"/>
        </w:rPr>
        <w:t>” shall mean the documents or portions thereof filed with the Commission on or prior to the Effective Date that are incorporated by reference in the Registration Statement or the Prospectus and any documents or portions thereof filed with the Commission after the Effective Date that are deemed to be incorporated by reference in the Registration Statement or the Prospectus.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shall have the meaning ascribed to such term in Section 3(v).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Issuer Free Writing Prospectus</w:t>
      </w:r>
      <w:r>
        <w:rPr>
          <w:rFonts w:ascii="Times New Roman;Times;Serif" w:hAnsi="Times New Roman;Times;Serif"/>
          <w:b w:val="false"/>
          <w:i w:val="false"/>
          <w:caps w:val="false"/>
          <w:smallCaps w:val="false"/>
          <w:sz w:val="20"/>
        </w:rPr>
        <w:t>” shall mean an issuer free writing prospectus, as defined in Rule 433.</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shall have the meaning ascribed to such term in Section 7(d).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shall have the meaning ascribed to such term in Section 3(b).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shall have the meaning ascribed to such term in Section 3(t).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Proceeds</w:t>
      </w:r>
      <w:r>
        <w:rPr>
          <w:rFonts w:ascii="Times New Roman;Times;Serif" w:hAnsi="Times New Roman;Times;Serif"/>
          <w:b w:val="false"/>
          <w:i w:val="false"/>
          <w:caps w:val="false"/>
          <w:smallCaps w:val="false"/>
          <w:sz w:val="20"/>
        </w:rPr>
        <w:t>” shall have the meaning ascribed to such term in Section 2(b)(v).</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Free Writing Prospectus</w:t>
      </w:r>
      <w:r>
        <w:rPr>
          <w:rFonts w:ascii="Times New Roman;Times;Serif" w:hAnsi="Times New Roman;Times;Serif"/>
          <w:b w:val="false"/>
          <w:i w:val="false"/>
          <w:caps w:val="false"/>
          <w:smallCaps w:val="false"/>
          <w:sz w:val="20"/>
        </w:rPr>
        <w:t>” shall have the meaning ascribed to such term in Section 4(g).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Placement</w:t>
      </w:r>
      <w:r>
        <w:rPr>
          <w:rFonts w:ascii="Times New Roman;Times;Serif" w:hAnsi="Times New Roman;Times;Serif"/>
          <w:b w:val="false"/>
          <w:i w:val="false"/>
          <w:caps w:val="false"/>
          <w:smallCaps w:val="false"/>
          <w:sz w:val="20"/>
        </w:rPr>
        <w:t>” shall have the meaning ascribed to such term in Section 2(c).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shall have the meaning ascribed to such term in Section 3(b).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shall mean the Base Prospectus, as supplemented by the most recently filed Prospectus Supplement.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shall mean each prospectus supplement relating to the Shares prepared and filed pursuant to Rule 424(b) from time to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shall mean the shelf registration statement (File Number 333-298608) on Form S-3, including exhibits and financial statements and any prospectus supplement relating to the Shares that is filed with the Commission pursuant to Rule 424(b) and deemed part of such registration statement pursuant to Rule 430B, as amended on each Effective Date and, in the event any post-effective amendment thereto becomes effective, shall also mean such registration statement as so amended.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Representation Date</w:t>
      </w:r>
      <w:r>
        <w:rPr>
          <w:rFonts w:ascii="Times New Roman;Times;Serif" w:hAnsi="Times New Roman;Times;Serif"/>
          <w:b w:val="false"/>
          <w:i w:val="false"/>
          <w:caps w:val="false"/>
          <w:smallCaps w:val="false"/>
          <w:sz w:val="20"/>
        </w:rPr>
        <w:t>” shall have the meaning ascribed to such term in Section 4(k).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 shall have the meaning ascribed to such term in Section 3(e).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158</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164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172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173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405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415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424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430B</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Rule 433</w:t>
      </w:r>
      <w:r>
        <w:rPr>
          <w:rFonts w:ascii="Times New Roman;Times;Serif" w:hAnsi="Times New Roman;Times;Serif"/>
          <w:b w:val="false"/>
          <w:i w:val="false"/>
          <w:caps w:val="false"/>
          <w:smallCaps w:val="false"/>
          <w:sz w:val="20"/>
        </w:rPr>
        <w:t>” refer to such rules under the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Sales Notice</w:t>
      </w:r>
      <w:r>
        <w:rPr>
          <w:rFonts w:ascii="Times New Roman;Times;Serif" w:hAnsi="Times New Roman;Times;Serif"/>
          <w:b w:val="false"/>
          <w:i w:val="false"/>
          <w:caps w:val="false"/>
          <w:smallCaps w:val="false"/>
          <w:sz w:val="20"/>
        </w:rPr>
        <w:t>” shall have the meaning ascribed to such term in Section 2(b)(i).</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shall have the meaning ascribed to such term in Section 3(m).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Settlement Date</w:t>
      </w:r>
      <w:r>
        <w:rPr>
          <w:rFonts w:ascii="Times New Roman;Times;Serif" w:hAnsi="Times New Roman;Times;Serif"/>
          <w:b w:val="false"/>
          <w:i w:val="false"/>
          <w:caps w:val="false"/>
          <w:smallCaps w:val="false"/>
          <w:sz w:val="20"/>
        </w:rPr>
        <w:t>” shall have the meaning ascribed to such term in Section 2(b)(vii).</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shall have the meaning ascribed to such term in Section 3(a).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Terms Agreement</w:t>
      </w:r>
      <w:r>
        <w:rPr>
          <w:rFonts w:ascii="Times New Roman;Times;Serif" w:hAnsi="Times New Roman;Times;Serif"/>
          <w:b w:val="false"/>
          <w:i w:val="false"/>
          <w:caps w:val="false"/>
          <w:smallCaps w:val="false"/>
          <w:sz w:val="20"/>
        </w:rPr>
        <w:t>” shall have the meaning ascribed to such term in Section 2(a).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Time of Delivery</w:t>
      </w:r>
      <w:r>
        <w:rPr>
          <w:rFonts w:ascii="Times New Roman;Times;Serif" w:hAnsi="Times New Roman;Times;Serif"/>
          <w:b w:val="false"/>
          <w:i w:val="false"/>
          <w:caps w:val="false"/>
          <w:smallCaps w:val="false"/>
          <w:sz w:val="20"/>
        </w:rPr>
        <w:t>” shall have the meaning ascribed to such term in Section 2(c).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Trading Market is open for trading.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the Nasdaq Capital Market.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QIU</w:t>
      </w:r>
      <w:r>
        <w:rPr>
          <w:rFonts w:ascii="Times New Roman;Times;Serif" w:hAnsi="Times New Roman;Times;Serif"/>
          <w:b w:val="false"/>
          <w:i w:val="false"/>
          <w:caps w:val="false"/>
          <w:smallCaps w:val="false"/>
          <w:sz w:val="20"/>
        </w:rPr>
        <w:t>” shall have the meaning ascribed to such term in Section 3(ss).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Sale and Delivery of Shares</w:t>
      </w:r>
      <w:r>
        <w:rPr>
          <w:rFonts w:ascii="Times New Roman;Times;Serif" w:hAnsi="Times New Roman;Times;Serif"/>
          <w:b w:val="false"/>
          <w:i w:val="false"/>
          <w:caps w:val="false"/>
          <w:smallCaps w:val="false"/>
          <w:sz w:val="20"/>
        </w:rPr>
        <w:t>. The Company proposes to issue and sell through or to the Managers, as sales agent and/or principal, from time to time during the term of this Agreement and on the terms set forth herein, up to such number of shares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of the Company’s common stock, $0.0001 par value per share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that does not exceed (a) the number or dollar amount of shares of Common Stock registered on the Registration Statement and as reflected on the Prospectus Supplement, pursuant to which the offering is being made, (b) the number of authorized but unissued shares of Common Stock (less the number of shares of Common Stock issuable upon exercise, conversion or exchange of any outstanding securities of the Company or otherwise reserved from the Company’s authorized capital stock), or (c) the number or dollar amount of shares of Common Stock that would cause the Company or the offering of the Shares to not satisfy the eligibility and transaction requirements for use of Form S-3, including, if applicable, General Instruction I.B.6 of Registration Statement on Form S-3 (the lesser of (a), (b) and (c), the “</w:t>
      </w:r>
      <w:r>
        <w:rPr>
          <w:rFonts w:ascii="Times New Roman;Times;Serif" w:hAnsi="Times New Roman;Times;Serif"/>
          <w:b w:val="false"/>
          <w:i w:val="false"/>
          <w:caps w:val="false"/>
          <w:smallCaps w:val="false"/>
          <w:sz w:val="20"/>
          <w:u w:val="single"/>
        </w:rPr>
        <w:t>Maximum Amount</w:t>
      </w:r>
      <w:r>
        <w:rPr>
          <w:rFonts w:ascii="Times New Roman;Times;Serif" w:hAnsi="Times New Roman;Times;Serif"/>
          <w:b w:val="false"/>
          <w:i w:val="false"/>
          <w:caps w:val="false"/>
          <w:smallCaps w:val="false"/>
          <w:sz w:val="20"/>
        </w:rPr>
        <w:t>”). Notwithstanding anything to the contrary contained herein, the parties hereto agree that compliance with the limitations set forth in this Section 2 on the number and aggregate sales price of Shares issued and sold under this Agreement shall be the sole responsibility of the Company and that the Managers shall have no obligation in connection with such compliance.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Appointment of Selling Manager as Selling Agent; Terms Agreement</w:t>
      </w:r>
      <w:r>
        <w:rPr>
          <w:rFonts w:ascii="Times New Roman;Times;Serif" w:hAnsi="Times New Roman;Times;Serif"/>
          <w:b w:val="false"/>
          <w:i w:val="false"/>
          <w:caps w:val="false"/>
          <w:smallCaps w:val="false"/>
          <w:sz w:val="20"/>
        </w:rPr>
        <w:t>. For purposes of selling the Shares through the Selling Manager, the Company hereby appoints the Selling Manager as exclusive agent of the Company for the purpose of selling the Shares of the Company pursuant to this Agreement and the Selling Manager agrees to use its commercially reasonable efforts consistent with its normal trading and sales practices to sell the Shares on the terms and subject to the conditions stated herein. The Company agrees that, whenever it determines to sell the Shares directly to the Selling Manager as principal, the Company will enter into a separate agreement (each, a “</w:t>
      </w:r>
      <w:r>
        <w:rPr>
          <w:rFonts w:ascii="Times New Roman;Times;Serif" w:hAnsi="Times New Roman;Times;Serif"/>
          <w:b w:val="false"/>
          <w:i w:val="false"/>
          <w:caps w:val="false"/>
          <w:smallCaps w:val="false"/>
          <w:sz w:val="20"/>
          <w:u w:val="single"/>
        </w:rPr>
        <w:t>Terms Agreement</w:t>
      </w:r>
      <w:r>
        <w:rPr>
          <w:rFonts w:ascii="Times New Roman;Times;Serif" w:hAnsi="Times New Roman;Times;Serif"/>
          <w:b w:val="false"/>
          <w:i w:val="false"/>
          <w:caps w:val="false"/>
          <w:smallCaps w:val="false"/>
          <w:sz w:val="20"/>
        </w:rPr>
        <w:t xml:space="preserve">”) in substantially the form of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hereto, relating to such sale in accordance with Section 2 of this Agreement.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Agent Sales</w:t>
      </w:r>
      <w:r>
        <w:rPr>
          <w:rFonts w:ascii="Times New Roman;Times;Serif" w:hAnsi="Times New Roman;Times;Serif"/>
          <w:b w:val="false"/>
          <w:i w:val="false"/>
          <w:caps w:val="false"/>
          <w:smallCaps w:val="false"/>
          <w:sz w:val="20"/>
        </w:rPr>
        <w:t>. Subject to the terms and conditions and in reliance upon the representations and warranties herein set forth, the Company will issue and agrees to sell Shares from time to time through the Selling Manager, acting as sales agent, and the Selling Manager agrees to use its commercially reasonable efforts to sell, as sales agent for the Company, on the following terms: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Shares are to be sold on a daily basis or otherwise as shall be agreed to by the Company and the Selling Manager on any day that (A) is a Trading Day, (B) the Company has instructed the Selling Manager by telephone (confirmed promptly by electronic mail) to make such sales (“</w:t>
      </w:r>
      <w:r>
        <w:rPr>
          <w:rFonts w:ascii="Times New Roman;Times;Serif" w:hAnsi="Times New Roman;Times;Serif"/>
          <w:b w:val="false"/>
          <w:i w:val="false"/>
          <w:caps w:val="false"/>
          <w:smallCaps w:val="false"/>
          <w:sz w:val="20"/>
          <w:u w:val="single"/>
        </w:rPr>
        <w:t>Sales Notice</w:t>
      </w:r>
      <w:r>
        <w:rPr>
          <w:rFonts w:ascii="Times New Roman;Times;Serif" w:hAnsi="Times New Roman;Times;Serif"/>
          <w:b w:val="false"/>
          <w:i w:val="false"/>
          <w:caps w:val="false"/>
          <w:smallCaps w:val="false"/>
          <w:sz w:val="20"/>
        </w:rPr>
        <w:t>”) and (C) the Company has satisfied its obligations under Section 6 of this Agreement. The Company will designate the maximum amount of the Shares to be sold by the Selling Manager daily (subject to the limitations set forth in Section 2(d)) and the minimum price per Share at which such Shares may be sold. Subject to the terms and conditions hereof, the Selling Manager shall use its commercially reasonable efforts consistent with its normal trading and sales practices to sell on a particular day all of the Shares designated for the sale by the Company on such day. The gross sales price of the Shares sold under this Section 2(b) shall be the market price for the shares of Common Stock sold by the Selling Manager under this Section 2(b) on the Trading Market at the time of sale of such Shares.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acknowledges and agrees that (A) there can be no assurance that the Selling Manager will be successful in selling the Shares, (B) the Selling Manager will incur no liability or obligation to the Company or any other person or entity if it does not sell the Shares for any reason other than a failure by the Selling Manager to use its commercially reasonable efforts consistent with its normal trading and sales practices and applicable law and regulations to sell such Shares as required under this Agreement, and (C) the Selling Manager shall be under no obligation to purchase Shares on a principal basis pursuant to this Agreement, except as otherwise specifically agreed by the Selling Manager and the Company pursuant to a Terms Agreement.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shall not authorize the issuance and sale of, and the Selling Manager shall not be obligated to use its commercially reasonable efforts to sell, any Share at a price lower than the minimum price therefor designated from time to time by the Company’s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xml:space="preserve">”), or a duly authorized committee thereof, or such duly authorized officers of the Company, and notified to the Selling Manager in writing. The Company or Wainwright may, upon notice to the other parties to this Agreement by telephone (confirmed promptly by electronic mail), suspend the offering of the Shares for any reason and at any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suspension or termination shall not affect or impair the parties’ respective obligations with respect to the Shares sold hereunder prior to the giving of such notice.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Selling Manager may sell Shares by any method permitted by law deemed to be an “at the market offering” as defined in Rule 415 under the Act, including without limitation sales made directly on the Trading Market, on any other existing trading market for the Common Stock or to or through a market maker. The Selling Manager may also sell Shares in privately negotiated transactions, provided that the Selling Manager receives the Company’s prior written approval for any sales in privately negotiated transactions and if so provided in the “Plan of Distribution” section of the Prospectus Supplement or a supplement to the Prospectus Supplement or a new Prospectus Supplement disclosing the terms of such privately negotiated transaction.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compensation to the Selling Manager for sales of the Shares under this Section 2(b) shall be a placement fee of 3.0% of the gross sales price of the Shares sold pursuant to this Section 2(b) (“</w:t>
      </w:r>
      <w:r>
        <w:rPr>
          <w:rFonts w:ascii="Times New Roman;Times;Serif" w:hAnsi="Times New Roman;Times;Serif"/>
          <w:b w:val="false"/>
          <w:i w:val="false"/>
          <w:caps w:val="false"/>
          <w:smallCaps w:val="false"/>
          <w:sz w:val="20"/>
          <w:u w:val="single"/>
        </w:rPr>
        <w:t>Broker Fee</w:t>
      </w:r>
      <w:r>
        <w:rPr>
          <w:rFonts w:ascii="Times New Roman;Times;Serif" w:hAnsi="Times New Roman;Times;Serif"/>
          <w:b w:val="false"/>
          <w:i w:val="false"/>
          <w:caps w:val="false"/>
          <w:smallCaps w:val="false"/>
          <w:sz w:val="20"/>
        </w:rPr>
        <w:t>”). The foregoing rate of compensation shall not apply when the Selling Manager acts as principal, in which case the Company may sell Shares to the Selling Manager as principal at a price agreed upon at the relevant Applicable Time pursuant to a Terms Agreement. The remaining proceeds, after deduction of the Broker Fee and deduction of any transaction fees imposed by any clearing firm, execution broker, or governmental or self-regulatory organization in respect of such sales, shall constitute the net proceeds to the Company for such Shares (the “</w:t>
      </w:r>
      <w:r>
        <w:rPr>
          <w:rFonts w:ascii="Times New Roman;Times;Serif" w:hAnsi="Times New Roman;Times;Serif"/>
          <w:b w:val="false"/>
          <w:i w:val="false"/>
          <w:caps w:val="false"/>
          <w:smallCaps w:val="false"/>
          <w:sz w:val="20"/>
          <w:u w:val="single"/>
        </w:rPr>
        <w:t>Net Proceeds</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Selling Manager shall provide written confirmation (which may be by electronic mail) to the Company following the close of trading on the Trading Market each day in which the Shares are sold under this Section 2(b) setting forth the number of the Shares sold on such day, the aggregate gross sales proceeds and the Net Proceeds to the Company, and the compensation payable by the Company to the Selling Manager with respect to such sales.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Unless otherwise agreed between the Company and the Selling Manager, settlement for sales of the Shares will occur at 10:00 a.m. (New York City time) on the first (1st) Trading Day (or any such shorter settlement cycle as may be in effect pursuant to Rule 15c6-1 under the Exchange Act from time to time) following the date on which such sales are made (each, a “</w:t>
      </w:r>
      <w:r>
        <w:rPr>
          <w:rFonts w:ascii="Times New Roman;Times;Serif" w:hAnsi="Times New Roman;Times;Serif"/>
          <w:b w:val="false"/>
          <w:i w:val="false"/>
          <w:caps w:val="false"/>
          <w:smallCaps w:val="false"/>
          <w:sz w:val="20"/>
          <w:u w:val="single"/>
        </w:rPr>
        <w:t>Settlement Date</w:t>
      </w:r>
      <w:r>
        <w:rPr>
          <w:rFonts w:ascii="Times New Roman;Times;Serif" w:hAnsi="Times New Roman;Times;Serif"/>
          <w:b w:val="false"/>
          <w:i w:val="false"/>
          <w:caps w:val="false"/>
          <w:smallCaps w:val="false"/>
          <w:sz w:val="20"/>
        </w:rPr>
        <w:t>”). On or before each Settlement Date, the Company will, or will cause its transfer agent to, electronically transfer the Shares being sold by crediting the Selling Manager’s or its designee’s account (provided that the Selling Manager shall have given the Company written notice of such designee at least one Trading Day prior to the Settlement Date) at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through its Deposit and Withdrawal at Custodian System or by such other means of delivery as may be mutually agreed upon by the Company and the Selling Manager which Shares in all cases shall be freely tradable, transferable, registered shares in good deliverable form. On each Settlement Date, the Selling Manager will deliver the related Net Proceeds in same day funds to an account designated by the Company. The Company agrees that, if the Company, or its transfer agent (if applicable), defaults in its obligation to deliver duly authorized Shares on a Settlement Date, in addition to and in no way limiting the rights and obligations set forth in Section 7 hereto, the Company will (i) hold the Selling Manager harmless against any loss, claim, damage, or reasonable, documented expense (including reasonable and documented legal fees and expenses), as incurred, arising out of or in connection with such default by the Company, and (ii) pay to the Selling Manager any commission, discount or other compensation to which the Selling Manager would otherwise have been entitled absent such default.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At each Applicable Time, Settlement Date, and Representation Date, the Company shall be deemed to have affirmed each representation and warranty contained in this Agreement as if such representation and warranty were made as of such date, modified as necessary to relate to the Registration Statement and the Prospectus as amended as of such date. Any obligation of the Selling Manager to use its commercially reasonable efforts to sell the Shares on behalf of the Company shall be subject to the continuing accuracy of the representations and warranties of the Company herein, to the performance by the Company of its obligations hereunder and to the continuing satisfaction of the additional conditions specified in Section 6 of this Agreement.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Notwithstanding any other provision of this Agreement, during any period in which the Company is in possession of material non-public information that is required to be disclosed under the Act or the Exchange Act, the Company and the Managers agree that (i) no sales of Shares will take place, (ii) the Company shall not request the sale of any Shares, and (iii) the Managers shall not be obligated to sell or offer to sell any Shares.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and the record date for the determination of stockholders entitled to receive the Distribution, the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the Company hereby covenants that, in connection with any sales of Shares pursuant to a Sales Notice on the Record Date, the Company shall issue and deliver such Shares to the Selling Manager on the Record Date and the Record Date shall be the Settlement Date and the Company shall cover any additional costs of the Selling Manager in connection with the delivery of Shares on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Term Sales</w:t>
      </w:r>
      <w:r>
        <w:rPr>
          <w:rFonts w:ascii="Times New Roman;Times;Serif" w:hAnsi="Times New Roman;Times;Serif"/>
          <w:b w:val="false"/>
          <w:i w:val="false"/>
          <w:caps w:val="false"/>
          <w:smallCaps w:val="false"/>
          <w:sz w:val="20"/>
        </w:rPr>
        <w:t>. If the Company wishes to sell the Shares pursuant to this Agreement in a manner other than as set forth in Section 2(b) of this Agreement (each, a “</w:t>
      </w:r>
      <w:r>
        <w:rPr>
          <w:rFonts w:ascii="Times New Roman;Times;Serif" w:hAnsi="Times New Roman;Times;Serif"/>
          <w:b w:val="false"/>
          <w:i w:val="false"/>
          <w:caps w:val="false"/>
          <w:smallCaps w:val="false"/>
          <w:sz w:val="20"/>
          <w:u w:val="single"/>
        </w:rPr>
        <w:t>Placement</w:t>
      </w:r>
      <w:r>
        <w:rPr>
          <w:rFonts w:ascii="Times New Roman;Times;Serif" w:hAnsi="Times New Roman;Times;Serif"/>
          <w:b w:val="false"/>
          <w:i w:val="false"/>
          <w:caps w:val="false"/>
          <w:smallCaps w:val="false"/>
          <w:sz w:val="20"/>
        </w:rPr>
        <w:t>”), the Company will notify the Selling Manager of the proposed terms of such Placement. If the Selling Manager, acting as principal, wishes to accept such proposed terms (which it may decline to do for any reason in its sole discretion) or, following discussions with the Company wishes to accept amended terms, the Company and the Selling Manager will enter into a Terms Agreement setting forth the terms of such Placement. The terms set forth in a Terms Agreement will not be binding on the Company or the Selling Manager unless and until the Company and the Selling Manager have each executed such Terms Agreement accepting all of the terms of such Terms Agreement. In the event of a conflict between the terms of this Agreement and the terms of a Terms Agreement, the terms of such Terms Agreement will control. A Terms Agreement may also specify certain provisions relating to the reoffering of such Shares by the Selling Manager. The commitment of the Selling Manager to purchase the Shares pursuant to any Terms Agreement shall be deemed to have been made on the basis of the representations and warranties of the Company herein contained and shall be subject to the terms and conditions herein set forth. Each Terms Agreement shall specify the number of the Shares to be purchased by the Selling Manager pursuant thereto, the price to be paid to the Company for such Shares, any provisions relating to rights of, and default by, underwriters acting together with the Selling Manager in the reoffering of the Shares, and the time and date (each such time and date being referred to herein as a “</w:t>
      </w:r>
      <w:r>
        <w:rPr>
          <w:rFonts w:ascii="Times New Roman;Times;Serif" w:hAnsi="Times New Roman;Times;Serif"/>
          <w:b w:val="false"/>
          <w:i w:val="false"/>
          <w:caps w:val="false"/>
          <w:smallCaps w:val="false"/>
          <w:sz w:val="20"/>
          <w:u w:val="single"/>
        </w:rPr>
        <w:t>Time of Delivery</w:t>
      </w:r>
      <w:r>
        <w:rPr>
          <w:rFonts w:ascii="Times New Roman;Times;Serif" w:hAnsi="Times New Roman;Times;Serif"/>
          <w:b w:val="false"/>
          <w:i w:val="false"/>
          <w:caps w:val="false"/>
          <w:smallCaps w:val="false"/>
          <w:sz w:val="20"/>
        </w:rPr>
        <w:t>”) and place of delivery of and payment for such Shares. Such Terms Agreement shall also specify any requirements for opinions of counsel, accountants’ letters and officers’ certificates pursuant to Section 6 of this Agreement and any other information or documents required by the Selling Manager.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Maximum Number of Shares</w:t>
      </w:r>
      <w:r>
        <w:rPr>
          <w:rFonts w:ascii="Times New Roman;Times;Serif" w:hAnsi="Times New Roman;Times;Serif"/>
          <w:b w:val="false"/>
          <w:i w:val="false"/>
          <w:caps w:val="false"/>
          <w:smallCaps w:val="false"/>
          <w:sz w:val="20"/>
        </w:rPr>
        <w:t>. Under no circumstances shall the Company cause or request the offer or sale of any Shares if, after giving effect to the sale of such Shares, the aggregate amount of Shares sold pursuant to this Agreement would exceed the lesser of (A) together with all sales of Shares under this Agreement, the Maximum Amount, (B) the amount available for offer and sale under the currently effective Registration Statement and (C) the amount authorized from time to time to be issued and sold under this Agreement by the Board, a duly authorized committee thereof or a duly authorized executive committee. Under no circumstances shall the Company cause or request the offer or sale of any Shares pursuant to this Agreement at a price lower than the minimum price authorized from time to time by the Board, a duly authorized committee thereof or a duly authorized executive officer, and notified to the Selling Manager in writing. Further, under no circumstances shall the Company cause or permit the aggregate offering amount of Shares sold pursuant to this Agreement to exceed the Maximum Amount.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Regulation M Notice</w:t>
      </w:r>
      <w:r>
        <w:rPr>
          <w:rFonts w:ascii="Times New Roman;Times;Serif" w:hAnsi="Times New Roman;Times;Serif"/>
          <w:b w:val="false"/>
          <w:i w:val="false"/>
          <w:caps w:val="false"/>
          <w:smallCaps w:val="false"/>
          <w:sz w:val="20"/>
        </w:rPr>
        <w:t>. Unless the exceptive provisions set forth in Rule 101(c)(1) of Regulation M under the Exchange Act are satisfied with respect to the Shares, the Company shall give the Selling Manager at least one (1) Business Day’s prior notice of its intent to sell any Shares in order to allow the Selling Manager time to comply with Regulation 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Company represents and warrants to, and agrees with, each Manager at the Execution Time and on each such time that the following representations and warranties are repeated or deemed to be made pursuant to this Agreement, as set forth below, except as set forth in the Registration Statement, the Prospectus or the Incorporated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All of the direct and indirect subsidiaries (individually, a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of the Company are set forth in the SEC Reports. The Company owns, directly or indirectly, all of the capital stock or other equity interests of each Subsidiary free and clear of any “</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(which for purposes of this Agreement shall mean a lien, charge, security interest, encumbrance, right of first refusal, preemptive right or other restriction), and all of the issued and outstanding shares of capital stock of each Subsidiary are validly issued and are fully paid, non-assessable and free of preemptive and similar rights to subscribe for or purchase securities.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in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this Agreement, (ii) a material adverse effect on the results of operations, assets, business, prospects or condition (financial or otherwise) of the Company and the Subsidiaries, taken as a whole, from that set forth in the Registration Statement, the Base Prospectus, any Prospectus Supplement, the Prospectus or the Incorporated Documents, or (iii) a material adverse effect on the Company’s ability to perform in any material respect on a timely basis its obligations under this Agreement (any of (i), (ii) or (iii),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and no “</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(which for purposes of this Agreement shall mean any action, claim, suit, investigation or proceeding (including, without limitation, an informal investigation or partial proceeding, such as a deposition), whether commenced or threatened) has been instituted in any such jurisdiction revoking, limiting or curtailing or seeking to revoke, limit or curtail such power and authority or qualification.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Authorization and Enforcement</w:t>
      </w:r>
      <w:r>
        <w:rPr>
          <w:rFonts w:ascii="Times New Roman;Times;Serif" w:hAnsi="Times New Roman;Times;Serif"/>
          <w:b w:val="false"/>
          <w:i w:val="false"/>
          <w:caps w:val="false"/>
          <w:smallCaps w:val="false"/>
          <w:sz w:val="20"/>
        </w:rPr>
        <w:t>. The Company has the requisite corporate power and authority to enter into and to consummate the transactions contemplated by this Agreement and otherwise to carry out its obligations hereunder. The execution and delivery of this Agreement by the Company and the consummation by it of the transactions contemplated hereby have been duly authorized by all necessary action on the part of the Company and no further action is required by the Company, the Board or the Company’s stockholders in connection herewith other than in connection with the Required Approvals. This Agreement has been duly executed and delivered by the Company and, when delivered in accordance with the terms 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by the Company of this Agreement, the issuance and sale of the Shares and the consummation by the Company of the transactions contemplated 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individually or in the aggregate, have or reasonably be expected to result in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Filings, Consents and Approvals.</w:t>
      </w:r>
      <w:r>
        <w:rPr>
          <w:rFonts w:ascii="Times New Roman;Times;Serif" w:hAnsi="Times New Roman;Times;Serif"/>
          <w:b w:val="false"/>
          <w:i w:val="false"/>
          <w:caps w:val="false"/>
          <w:smallCaps w:val="false"/>
          <w:sz w:val="20"/>
        </w:rPr>
        <w:t xml:space="preserve"> The Company is not required to obtain any consent, waiver, authorization or order of, give any notice to, or make any filing or registration with, any court or other federal, state, local or other governmental authority or other “Person” (defined as an individual or corporation, partnership, trust, incorporated or unincorporated association, joint venture, limited liability company, joint stock company, government (or an agency or subdivision thereof) or other entity of any kind, including the Trading Market) in connection with the execution, delivery and performance by the Company of this Agreement, other than (i) the filings required by this Agreement, (ii) the filing with the Commission of the Prospectus Supplement, (iii) the filing of application(s) to and approval by the Trading Market for the listing of the Shares for trading thereon in the time and manner required thereby, and (iv) such filings as are required to be made under applicable state securities laws and the rules and regulations of the Financial Industry Regulatory Authority, Inc.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(collectively, the “</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Issuance of Shares</w:t>
      </w:r>
      <w:r>
        <w:rPr>
          <w:rFonts w:ascii="Times New Roman;Times;Serif" w:hAnsi="Times New Roman;Times;Serif"/>
          <w:b w:val="false"/>
          <w:i w:val="false"/>
          <w:caps w:val="false"/>
          <w:smallCaps w:val="false"/>
          <w:sz w:val="20"/>
        </w:rPr>
        <w:t>. The Shares are duly authorized and, when issued and paid for in accordance with this Agreement, will be duly and validly issued, fully paid and nonassessable, free and clear of all Liens imposed by the Company. The Company has reserved from its duly authorized capital stock the maximum number of shares of Common Stock issuable pursuant to this Agreement. The issuance by the Company of the Shares has been registered under the Act and all of the Shares are freely transferable and tradable by the purchasers thereof without restriction (other than any restrictions arising solely from an act or omission of such a purchaser). The Shares are being issued pursuant to the Registration Statement and the issuance of the Shares has been registered by the Company under the Act. The “</w:t>
      </w:r>
      <w:r>
        <w:rPr>
          <w:rFonts w:ascii="Times New Roman;Times;Serif" w:hAnsi="Times New Roman;Times;Serif"/>
          <w:b w:val="false"/>
          <w:i w:val="false"/>
          <w:caps w:val="false"/>
          <w:smallCaps w:val="false"/>
          <w:sz w:val="20"/>
          <w:u w:val="single"/>
        </w:rPr>
        <w:t>Plan of Distribution</w:t>
      </w:r>
      <w:r>
        <w:rPr>
          <w:rFonts w:ascii="Times New Roman;Times;Serif" w:hAnsi="Times New Roman;Times;Serif"/>
          <w:b w:val="false"/>
          <w:i w:val="false"/>
          <w:caps w:val="false"/>
          <w:smallCaps w:val="false"/>
          <w:sz w:val="20"/>
        </w:rPr>
        <w:t>” section within the Registration Statement permits the issuance and sale of the Shares as contemplated by this Agreement. Upon receipt of the Shares, the purchasers of such Shares will have good and marketable title to such Shares and the Shares will be freely tradable on the Trading Market.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capitalization of the Company is as set forth in the SEC Reports.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 and pursuant to the conversion and/or exercise of securities exercisable, exchangeable or convertible into Common Stock (“</w:t>
      </w:r>
      <w:r>
        <w:rPr>
          <w:rFonts w:ascii="Times New Roman;Times;Serif" w:hAnsi="Times New Roman;Times;Serif"/>
          <w:b w:val="false"/>
          <w:i w:val="false"/>
          <w:caps w:val="false"/>
          <w:smallCaps w:val="false"/>
          <w:sz w:val="20"/>
          <w:u w:val="single"/>
        </w:rPr>
        <w:t>Common Stock Equivalents</w:t>
      </w:r>
      <w:r>
        <w:rPr>
          <w:rFonts w:ascii="Times New Roman;Times;Serif" w:hAnsi="Times New Roman;Times;Serif"/>
          <w:b w:val="false"/>
          <w:i w:val="false"/>
          <w:caps w:val="false"/>
          <w:smallCaps w:val="false"/>
          <w:sz w:val="20"/>
        </w:rPr>
        <w:t>”) outstanding as of the date of the most recently filed periodic report under the Exchange Act. No Person has any right of first refusal, preemptive right, right of participation, or any similar right to participate in the transactions contemplated by this Agreement. Except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Shares will not obligate the Company or any Subsidiary to issue shares of Common Stock or other securities to any Person.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or others is required for the issuance and sale of the Shares. There are no stockholders agreements, voting agreements or other similar agreements with respect to the Company’s capital stock to which the Company is a party or, to the knowledge of the Company, between or among any of the Company’s stockholders.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The Company meets the requirements for use of Form S-3 under the Act and has prepared and filed with the Commission the Registration Statement, including a related Base Prospectus, for registration under the Act of the offering and sale of the Shares. The Registration Statement shall be effective and available for the offer and sale of the Shares as of the date hereof. As filed, the Base Prospectus contains all information required by the Act and the rules thereunder, and, except to the extent the Managers shall agree in writing to a modification, shall be in all substantive respects in the form furnished to the Managers prior to the Execution Time or prior to any such time this representation is repeated or deemed to be made. The Registration Statement contains shall contain all exhibits and schedules as required by the Act. Each of the Registration Statement and any post-effective amendment thereto, if any, at the time it becomes effective, will comply in all material respects with the Act and the Exchange Act and will not contain any untrue statement of a material fact or omit to state a material fact required to be stated therein or necessary to make the statements therein not misleading. The Registration Statement, when filed or immediately following the Execution Time, each such time this representation is repeated or deemed to be made, and at all times during which a prospectus is required by the Act to be delivered (whether physically or through compliance with Rule 172, 173 or any similar rule) in connection with any offer or sale of the Shares, meets the requirements set forth in Rule 415(a)(1)(x). The initial Effective Date of the Registration Statement was not earlier than the date three years before the Execution Time. The Company meets the transaction requirements as set forth in General Instruction I.B.1 of Form S-3 or, if applicable, as set forth in General Instruction I.B.6 of Form S-3 with respect to the aggregate market value of securities being sold pursuant to this offering and during the twelve (12) calendar months prior to such time that this representation is made or deemed to be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Accuracy of Incorporated Documents</w:t>
      </w:r>
      <w:r>
        <w:rPr>
          <w:rFonts w:ascii="Times New Roman;Times;Serif" w:hAnsi="Times New Roman;Times;Serif"/>
          <w:b w:val="false"/>
          <w:i w:val="false"/>
          <w:caps w:val="false"/>
          <w:smallCaps w:val="false"/>
          <w:sz w:val="20"/>
        </w:rPr>
        <w:t>. The Incorporated Documents, when they were filed with the Commission, conformed in all material respects to the requirements of the Exchange Act and the rules thereunder, and none of the Incorporated Documents, when they were filed with the Commission, contained any untrue statement of a material fact or omitted to state a material fact necessary to make the statements therein, in light of the circumstances under which they were made not misleading; and any further documents so filed and incorporated by reference in the Registration Statement, the Base Prospectus, the Prospectus Supplement or the Prospectus, when such documents are filed with the Commission, will conform in all material respects to the requirements of the Exchange Act and the rules thereunder, as applicable, and will not contain any untrue statement of a material fact or omit to state a material fact necessary to make the statements therein, in light of the circumstances under which they were made, not misleading.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Ineligible Issuer</w:t>
      </w:r>
      <w:r>
        <w:rPr>
          <w:rFonts w:ascii="Times New Roman;Times;Serif" w:hAnsi="Times New Roman;Times;Serif"/>
          <w:b w:val="false"/>
          <w:i w:val="false"/>
          <w:caps w:val="false"/>
          <w:smallCaps w:val="false"/>
          <w:sz w:val="20"/>
        </w:rPr>
        <w:t>. (i) At the earliest time after the filing of the Registration Statement that the Company or another offering participant made a bona fide offer (within the meaning of Rule 164(h)(2)) of the Shares and (ii) as of the Execution Time and on each such time this representation is repeated or deemed to be made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Free Writing Prospectus</w:t>
      </w:r>
      <w:r>
        <w:rPr>
          <w:rFonts w:ascii="Times New Roman;Times;Serif" w:hAnsi="Times New Roman;Times;Serif"/>
          <w:b w:val="false"/>
          <w:i w:val="false"/>
          <w:caps w:val="false"/>
          <w:smallCaps w:val="false"/>
          <w:sz w:val="20"/>
        </w:rPr>
        <w:t>. The Company is eligible to use Issuer Free Writing Prospectuses. Each Issuer Free Writing Prospectus does not include any information the substance of which conflicts with the information contained in the Registration Statement, including any Incorporated Documents and any prospectus supplement deemed to be a part thereof that has not been superseded or modified; and each Issuer Free Writing Prospectus does not contain any untrue statement of a material fact or omit to state any material fact necessary in order to make the statements therein, in the light of the circumstances under which they were made, not misleading. The foregoing sentence does not apply to statements in or omissions from any Issuer Free Writing Prospectus based upon and in conformity with written information furnished to the Company by the Managers specifically for use therein. Any Issuer Free Writing Prospectus that the Company is required to file pursuant to Rule 433(d) has been, or will be, filed with the Commission in accordance with the requirements of the Act and the rules thereunder. Each Issuer Free Writing Prospectus that the Company has filed, or is required to file, pursuant to Rule 433(d) or that was prepared by or behalf of or used by the Company complies or will comply in all material respects with the requirements of the Act and the rules thereunder. The Company will not, without the prior consent of the Managers, prepare, use or refer to, any Issuer Free Writing Prospectuses.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Proceedings Related to Registration Statement</w:t>
      </w:r>
      <w:r>
        <w:rPr>
          <w:rFonts w:ascii="Times New Roman;Times;Serif" w:hAnsi="Times New Roman;Times;Serif"/>
          <w:b w:val="false"/>
          <w:i w:val="false"/>
          <w:caps w:val="false"/>
          <w:smallCaps w:val="false"/>
          <w:sz w:val="20"/>
        </w:rPr>
        <w:t>. The Registration Statement is not the subject of a pending proceeding or examination under Section 8(d) or 8(e) of the Act, and the Company is not the subject of a pending proceeding under Section 8A of the Act in connection with the offering of the Shares. The Company has not received any notice that the Commission has issued or intends to issue a stop-order with respect to the Registration Statement or that the Commission otherwise has suspended or withdrawn the effectiveness of the Registration Statement, either temporarily or permanently, or intends or has threatened in writing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The Company has filed all reports, schedules, forms, statements and other documents required to be filed by the Company under the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[RESERVED]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Material Changes; Undisclosed Events, Liabilities or Developments</w:t>
      </w:r>
      <w:r>
        <w:rPr>
          <w:rFonts w:ascii="Times New Roman;Times;Serif" w:hAnsi="Times New Roman;Times;Serif"/>
          <w:b w:val="false"/>
          <w:i w:val="false"/>
          <w:caps w:val="false"/>
          <w:smallCaps w:val="false"/>
          <w:sz w:val="20"/>
        </w:rPr>
        <w:t>. Since the date of the latest audited financial statements included within the SEC Reports, except as specifically disclosed in a subsequent SEC Report filed prior to the date on which this representation is being made,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(v) the Company has not issued any equity securities to any officer, director or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(defined as any Person that, directly or indirectly through one or more intermediaries, controls or is controlled by or is under common control with a Person, as such terms are used in and construed under Rule 144 under the Act), except pursuant to existing Company stock option plans, and (vi) no executive officer of the Company or member of the Board has resigned from any position with the Company. The Company does not have pending before the Commission any request for confidential treatment of information. Except for the issuance of the Shares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Except as set forth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None of the Actions set forth in the SEC Reports, (i) adversely affects or challenges the legality, validity or enforceability of this Agreement or the Shares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Labor Relations</w:t>
      </w:r>
      <w:r>
        <w:rPr>
          <w:rFonts w:ascii="Times New Roman;Times;Serif" w:hAnsi="Times New Roman;Times;Serif"/>
          <w:b w:val="false"/>
          <w:i w:val="false"/>
          <w:caps w:val="false"/>
          <w:smallCaps w:val="false"/>
          <w:sz w:val="20"/>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applicable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t>
        <w:tab/>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w:t>
        <w:tab/>
        <w:t>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Regulatory Permits</w:t>
      </w:r>
      <w:r>
        <w:rPr>
          <w:rFonts w:ascii="Times New Roman;Times;Serif" w:hAnsi="Times New Roman;Times;Serif"/>
          <w:b w:val="false"/>
          <w:i w:val="false"/>
          <w:caps w:val="false"/>
          <w:smallCaps w:val="false"/>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and neither the Company nor any Subsidiary has received any notice of proceedings relating to the revocation or modification of any Material Permit.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Affiliate Transactions</w:t>
      </w:r>
      <w:r>
        <w:rPr>
          <w:rFonts w:ascii="Times New Roman;Times;Serif" w:hAnsi="Times New Roman;Times;Serif"/>
          <w:b w:val="false"/>
          <w:i w:val="false"/>
          <w:caps w:val="false"/>
          <w:smallCaps w:val="false"/>
          <w:sz w:val="20"/>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Sarbanes Oxley Compliance</w:t>
      </w:r>
      <w:r>
        <w:rPr>
          <w:rFonts w:ascii="Times New Roman;Times;Serif" w:hAnsi="Times New Roman;Times;Serif"/>
          <w:b w:val="false"/>
          <w:i w:val="false"/>
          <w:caps w:val="false"/>
          <w:smallCaps w:val="false"/>
          <w:sz w:val="20"/>
        </w:rPr>
        <w:t>. The Company and the Subsidiaries are in compliance with any and all applicable requirements of the Sarbanes-Oxley Act of 2002, as amended, that are effective as of the date hereof, and any and all applicable rules and regulations promulgated by the Commission thereunder that are effective as of the date hereof.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 Other than payments to be made to the Managers, no brokerage or finder’s fees or commissions are or will be payable by the Company or any Subsidiary to any broker, financial advisor or consultant, finder, placement agent, investment banker, bank or other Person with respect to the transactions contemplated by this Agreement. The Managers shall have no obligation with respect to any fees or with respect to any claims made by or on behalf of other Persons for fees of a type contemplated in this Section that may be due in connection with the transactions contemplated by this Agreement.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w:t>
        <w:tab/>
      </w:r>
      <w:r>
        <w:rPr>
          <w:rFonts w:ascii="Times New Roman;Times;Serif" w:hAnsi="Times New Roman;Times;Serif"/>
          <w:b w:val="false"/>
          <w:i w:val="false"/>
          <w:caps w:val="false"/>
          <w:smallCaps w:val="false"/>
          <w:sz w:val="20"/>
          <w:u w:val="single"/>
        </w:rPr>
        <w:t>No Other Sales Agency Agreement</w:t>
      </w:r>
      <w:r>
        <w:rPr>
          <w:rFonts w:ascii="Times New Roman;Times;Serif" w:hAnsi="Times New Roman;Times;Serif"/>
          <w:b w:val="false"/>
          <w:i w:val="false"/>
          <w:caps w:val="false"/>
          <w:smallCaps w:val="false"/>
          <w:sz w:val="20"/>
        </w:rPr>
        <w:t>. The Company has not entered into any other sales agency agreements or other similar arrangements with any agent or any other representative in respect of at the market offerings of the Shares.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w:t>
        <w:tab/>
      </w:r>
      <w:r>
        <w:rPr>
          <w:rFonts w:ascii="Times New Roman;Times;Serif" w:hAnsi="Times New Roman;Times;Serif"/>
          <w:b w:val="false"/>
          <w:i w:val="false"/>
          <w:caps w:val="false"/>
          <w:smallCaps w:val="false"/>
          <w:sz w:val="20"/>
          <w:u w:val="single"/>
        </w:rPr>
        <w:t>Investment Company</w:t>
      </w:r>
      <w:r>
        <w:rPr>
          <w:rFonts w:ascii="Times New Roman;Times;Serif" w:hAnsi="Times New Roman;Times;Serif"/>
          <w:b w:val="false"/>
          <w:i w:val="false"/>
          <w:caps w:val="false"/>
          <w:smallCaps w:val="false"/>
          <w:sz w:val="20"/>
        </w:rPr>
        <w:t>.  The Company is not, and is not an Affiliate of, and immediately after receipt of payment for the Shares from the Managers pursuant to this Agreement,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 The Company shall conduct its business in a manner so as to reasonably ensure that it or its Subsidiaries will not become an “investment company” subject to registration under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w:t>
        <w:tab/>
      </w:r>
      <w:r>
        <w:rPr>
          <w:rFonts w:ascii="Times New Roman;Times;Serif" w:hAnsi="Times New Roman;Times;Serif"/>
          <w:b w:val="false"/>
          <w:i w:val="false"/>
          <w:caps w:val="false"/>
          <w:smallCaps w:val="false"/>
          <w:sz w:val="20"/>
          <w:u w:val="single"/>
        </w:rPr>
        <w:t>Listing and Maintenance Requirements</w:t>
      </w:r>
      <w:r>
        <w:rPr>
          <w:rFonts w:ascii="Times New Roman;Times;Serif" w:hAnsi="Times New Roman;Times;Serif"/>
          <w:b w:val="false"/>
          <w:i w:val="false"/>
          <w:caps w:val="false"/>
          <w:smallCaps w:val="false"/>
          <w:sz w:val="20"/>
        </w:rPr>
        <w:t>. The Common Stock is listed on the Trading Market and the issuance of the Shares as contemplated by this Agreement does not contravene the rules and regulations of the Trading Market.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w:t>
        <w:tab/>
      </w:r>
      <w:r>
        <w:rPr>
          <w:rFonts w:ascii="Times New Roman;Times;Serif" w:hAnsi="Times New Roman;Times;Serif"/>
          <w:b w:val="false"/>
          <w:i w:val="false"/>
          <w:caps w:val="false"/>
          <w:smallCaps w:val="false"/>
          <w:sz w:val="20"/>
          <w:u w:val="single"/>
        </w:rPr>
        <w:t>Application of Takeover Protections</w:t>
      </w:r>
      <w:r>
        <w:rPr>
          <w:rFonts w:ascii="Times New Roman;Times;Serif" w:hAnsi="Times New Roman;Times;Serif"/>
          <w:b w:val="false"/>
          <w:i w:val="false"/>
          <w:caps w:val="false"/>
          <w:smallCaps w:val="false"/>
          <w:sz w:val="20"/>
        </w:rPr>
        <w:t>. The Company and the Board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w:t>
        <w:tab/>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Based on the consolidated financial condition of the Company as of the date hereof,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within one year from the date hereof. The Company has no knowledge of any facts or circumstances which lead it to believe that it will file for reorganization or liquidation under the bankruptcy or reorganization laws of any jurisdiction within one year from the date hereof. The SEC Reports set forth as of the date hereof all outstanding secured and unsecured Indebtedness of the Company or any Subsidiary, or for which the Company or any Subsidiary has commitments. Neither the Company nor any Subsidiary is in default with respect to any Indebtedness. For the purposes of this Agreement,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w:t>
        <w:tab/>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w:t>
        <w:tab/>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the Foreign Corrupt Practices Act of 1977, as amended.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w:t>
        <w:tab/>
      </w:r>
      <w:r>
        <w:rPr>
          <w:rFonts w:ascii="Times New Roman;Times;Serif" w:hAnsi="Times New Roman;Times;Serif"/>
          <w:b w:val="false"/>
          <w:i w:val="false"/>
          <w:caps w:val="false"/>
          <w:smallCaps w:val="false"/>
          <w:sz w:val="20"/>
          <w:u w:val="single"/>
        </w:rPr>
        <w:t>Accountants</w:t>
      </w:r>
      <w:r>
        <w:rPr>
          <w:rFonts w:ascii="Times New Roman;Times;Serif" w:hAnsi="Times New Roman;Times;Serif"/>
          <w:b w:val="false"/>
          <w:i w:val="false"/>
          <w:caps w:val="false"/>
          <w:smallCaps w:val="false"/>
          <w:sz w:val="20"/>
        </w:rPr>
        <w:t>. The Company’s accounting firm is set forth in the SEC Reports. To the knowledge and belief of the Company, such accounting firm (i) is an independent registered public accounting firm as required by the Exchange Act and (ii) shall express its opinion with respect to the financial statements to be included in the next Annual Report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Regulation M Compliance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 other than, in the case of clauses (ii) and (iii), compensation paid to the Managers in connection with the Shares.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w:t>
        <w:tab/>
      </w:r>
      <w:r>
        <w:rPr>
          <w:rFonts w:ascii="Times New Roman;Times;Serif" w:hAnsi="Times New Roman;Times;Serif"/>
          <w:b w:val="false"/>
          <w:i w:val="false"/>
          <w:caps w:val="false"/>
          <w:smallCaps w:val="false"/>
          <w:sz w:val="20"/>
          <w:u w:val="single"/>
        </w:rPr>
        <w:t>FDA</w:t>
      </w:r>
      <w:r>
        <w:rPr>
          <w:rFonts w:ascii="Times New Roman;Times;Serif" w:hAnsi="Times New Roman;Times;Serif"/>
          <w:b w:val="false"/>
          <w:i w:val="false"/>
          <w:caps w:val="false"/>
          <w:smallCaps w:val="false"/>
          <w:sz w:val="20"/>
        </w:rPr>
        <w:t>. As to each product subject to the jurisdiction of the U.S. Food and Drug Administration (“</w:t>
      </w:r>
      <w:r>
        <w:rPr>
          <w:rFonts w:ascii="Times New Roman;Times;Serif" w:hAnsi="Times New Roman;Times;Serif"/>
          <w:b w:val="false"/>
          <w:i w:val="false"/>
          <w:caps w:val="false"/>
          <w:smallCaps w:val="false"/>
          <w:sz w:val="20"/>
          <w:u w:val="single"/>
        </w:rPr>
        <w:t>FDA</w:t>
      </w:r>
      <w:r>
        <w:rPr>
          <w:rFonts w:ascii="Times New Roman;Times;Serif" w:hAnsi="Times New Roman;Times;Serif"/>
          <w:b w:val="false"/>
          <w:i w:val="false"/>
          <w:caps w:val="false"/>
          <w:smallCaps w:val="false"/>
          <w:sz w:val="20"/>
        </w:rPr>
        <w:t>”) under the Federal Food, Drug and Cosmetic Act, as amended, and the regulations thereunder (“</w:t>
      </w:r>
      <w:r>
        <w:rPr>
          <w:rFonts w:ascii="Times New Roman;Times;Serif" w:hAnsi="Times New Roman;Times;Serif"/>
          <w:b w:val="false"/>
          <w:i w:val="false"/>
          <w:caps w:val="false"/>
          <w:smallCaps w:val="false"/>
          <w:sz w:val="20"/>
          <w:u w:val="single"/>
        </w:rPr>
        <w:t>FDCA</w:t>
      </w:r>
      <w:r>
        <w:rPr>
          <w:rFonts w:ascii="Times New Roman;Times;Serif" w:hAnsi="Times New Roman;Times;Serif"/>
          <w:b w:val="false"/>
          <w:i w:val="false"/>
          <w:caps w:val="false"/>
          <w:smallCaps w:val="false"/>
          <w:sz w:val="20"/>
        </w:rPr>
        <w:t>”) that is manufactured, packaged, labeled, tested, distributed, sold, and/or marketed by the Company or any of its Subsidiaries (each such product, a “</w:t>
      </w:r>
      <w:r>
        <w:rPr>
          <w:rFonts w:ascii="Times New Roman;Times;Serif" w:hAnsi="Times New Roman;Times;Serif"/>
          <w:b w:val="false"/>
          <w:i w:val="false"/>
          <w:caps w:val="false"/>
          <w:smallCaps w:val="false"/>
          <w:sz w:val="20"/>
          <w:u w:val="single"/>
        </w:rPr>
        <w:t>Pharmaceutical Product</w:t>
      </w:r>
      <w:r>
        <w:rPr>
          <w:rFonts w:ascii="Times New Roman;Times;Serif" w:hAnsi="Times New Roman;Times;Serif"/>
          <w:b w:val="false"/>
          <w:i w:val="false"/>
          <w:caps w:val="false"/>
          <w:smallCaps w:val="false"/>
          <w:sz w:val="20"/>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w:t>
        <w:tab/>
      </w:r>
      <w:r>
        <w:rPr>
          <w:rFonts w:ascii="Times New Roman;Times;Serif" w:hAnsi="Times New Roman;Times;Serif"/>
          <w:b w:val="false"/>
          <w:i w:val="false"/>
          <w:caps w:val="false"/>
          <w:smallCaps w:val="false"/>
          <w:sz w:val="20"/>
          <w:u w:val="single"/>
        </w:rPr>
        <w:t>Stock Option Plans</w:t>
      </w:r>
      <w:r>
        <w:rPr>
          <w:rFonts w:ascii="Times New Roman;Times;Serif" w:hAnsi="Times New Roman;Times;Serif"/>
          <w:b w:val="false"/>
          <w:i w:val="false"/>
          <w:caps w:val="false"/>
          <w:smallCaps w:val="false"/>
          <w:sz w:val="20"/>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w:t>
        <w:tab/>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Times;Serif" w:hAnsi="Times New Roman;Times;Serif"/>
          <w:b w:val="false"/>
          <w:i w:val="false"/>
          <w:caps w:val="false"/>
          <w:smallCaps w:val="false"/>
          <w:sz w:val="20"/>
          <w:u w:val="single"/>
        </w:rPr>
        <w:t>IT Systems and Data</w:t>
      </w:r>
      <w:r>
        <w:rPr>
          <w:rFonts w:ascii="Times New Roman;Times;Serif" w:hAnsi="Times New Roman;Times;Serif"/>
          <w:b w:val="false"/>
          <w:i w:val="false"/>
          <w:caps w:val="false"/>
          <w:smallCaps w:val="false"/>
          <w:sz w:val="20"/>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w:t>
        <w:tab/>
      </w:r>
      <w:r>
        <w:rPr>
          <w:rFonts w:ascii="Times New Roman;Times;Serif" w:hAnsi="Times New Roman;Times;Serif"/>
          <w:b w:val="false"/>
          <w:i w:val="false"/>
          <w:caps w:val="false"/>
          <w:smallCaps w:val="false"/>
          <w:sz w:val="20"/>
          <w:u w:val="single"/>
        </w:rPr>
        <w:t>Compliance with Data Privacy Laws</w:t>
      </w:r>
      <w:r>
        <w:rPr>
          <w:rFonts w:ascii="Times New Roman;Times;Serif" w:hAnsi="Times New Roman;Times;Serif"/>
          <w:b w:val="false"/>
          <w:i w:val="false"/>
          <w:caps w:val="false"/>
          <w:smallCaps w:val="false"/>
          <w:sz w:val="20"/>
        </w:rPr>
        <w:t>. (i) The Company and the Subsidiaries are, and at all times during the past three years were, in compliance with all applicable data privacy and security laws and regulations, including, as applicable, the European Union General Data Protection Regulation (“</w:t>
      </w:r>
      <w:r>
        <w:rPr>
          <w:rFonts w:ascii="Times New Roman;Times;Serif" w:hAnsi="Times New Roman;Times;Serif"/>
          <w:b w:val="false"/>
          <w:i w:val="false"/>
          <w:caps w:val="false"/>
          <w:smallCaps w:val="false"/>
          <w:sz w:val="20"/>
          <w:u w:val="single"/>
        </w:rPr>
        <w:t>GDPR</w:t>
      </w:r>
      <w:r>
        <w:rPr>
          <w:rFonts w:ascii="Times New Roman;Times;Serif" w:hAnsi="Times New Roman;Times;Serif"/>
          <w:b w:val="false"/>
          <w:i w:val="false"/>
          <w:caps w:val="false"/>
          <w:smallCaps w:val="false"/>
          <w:sz w:val="20"/>
        </w:rPr>
        <w:t>”) (EU 2016/679) (collectively, “</w:t>
      </w:r>
      <w:r>
        <w:rPr>
          <w:rFonts w:ascii="Times New Roman;Times;Serif" w:hAnsi="Times New Roman;Times;Serif"/>
          <w:b w:val="false"/>
          <w:i w:val="false"/>
          <w:caps w:val="false"/>
          <w:smallCaps w:val="false"/>
          <w:sz w:val="20"/>
          <w:u w:val="single"/>
        </w:rPr>
        <w:t>Privacy Laws</w:t>
      </w:r>
      <w:r>
        <w:rPr>
          <w:rFonts w:ascii="Times New Roman;Times;Serif" w:hAnsi="Times New Roman;Times;Serif"/>
          <w:b w:val="false"/>
          <w:i w:val="false"/>
          <w:caps w:val="false"/>
          <w:smallCaps w:val="false"/>
          <w:sz w:val="20"/>
        </w:rPr>
        <w: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(the “</w:t>
      </w:r>
      <w:r>
        <w:rPr>
          <w:rFonts w:ascii="Times New Roman;Times;Serif" w:hAnsi="Times New Roman;Times;Serif"/>
          <w:b w:val="false"/>
          <w:i w:val="false"/>
          <w:caps w:val="false"/>
          <w:smallCaps w:val="false"/>
          <w:sz w:val="20"/>
          <w:u w:val="single"/>
        </w:rPr>
        <w:t>Policies</w:t>
      </w:r>
      <w:r>
        <w:rPr>
          <w:rFonts w:ascii="Times New Roman;Times;Serif" w:hAnsi="Times New Roman;Times;Serif"/>
          <w:b w:val="false"/>
          <w:i w:val="false"/>
          <w:caps w:val="false"/>
          <w:smallCaps w:val="false"/>
          <w:sz w:val="20"/>
        </w:rPr>
        <w:t>”); (iii) the Company provides accurate notice of its applicable Policies to its customers, employees, third party vendors and representatives as required by Privacy Laws; and (iv) applicable Policies provide accurate and sufficient notice of the Company’s then-current privacy practices relating to its subject matter, and do not contain any material omissions of the Company’s then-current privacy practices, as required by Privacy Laws. “</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 (ii) the execution, delivery and performance of this Agreement will not result in a breach of any Privacy Laws or Policies.  Neither the Company nor the Subsidiaries, (i) has, to the knowledge of the Company,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w:t>
        <w:tab/>
      </w:r>
      <w:r>
        <w:rPr>
          <w:rFonts w:ascii="Times New Roman;Times;Serif" w:hAnsi="Times New Roman;Times;Serif"/>
          <w:b w:val="false"/>
          <w:i w:val="false"/>
          <w:caps w:val="false"/>
          <w:smallCaps w:val="false"/>
          <w:sz w:val="20"/>
          <w:u w:val="single"/>
        </w:rPr>
        <w:t>Office of Foreign Assets Control</w:t>
      </w:r>
      <w:r>
        <w:rPr>
          <w:rFonts w:ascii="Times New Roman;Times;Serif" w:hAnsi="Times New Roman;Times;Serif"/>
          <w:b w:val="false"/>
          <w:i w:val="false"/>
          <w:caps w:val="false"/>
          <w:smallCaps w:val="false"/>
          <w:sz w:val="20"/>
        </w:rPr>
        <w:t>. Neither the Company nor any of its Subsidiaries, nor to the knowledge of the Company, any of the directors, officers or employees of the Company or its Subsidiaries, is an individual or entity that is, or is owned or controlled by an individual or entity that is: (i) the subject of any sanctions administered or enforced by the U.S. Department of Treasury’s Office of Foreign Assets Control, the United Nations Security Council, the European Union, His Majesty’s Treasury, or other relevant sanctions authority (collectively,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nor (ii) located, organized or resident in a country or territory that is the subject of Sanctions. Neither the Company nor any of its Subsidiaries will, directly or indirectly, use the proceeds of the transactions contemplated hereby, or lend, contribute or otherwise make available such proceeds to any Subsidiary, joint venture partner or other individual or entity: (i) to fund or facilitate any activities or business of or with any individual or entity or in any country or territory that, at the time of such funding or facilitation, is the subject of Sanctions or (ii) in any other manner that will result in a violation of Sanctions by any individual or entity (including any individual or entity participating in the transactions contemplated hereby, whether as underwriter, advisor, investor or otherwise). For the past five years, neither the Company nor any of its Subsidiaries has knowingly engaged in, and is not now knowingly engaged in, any dealings or transactions with any individual or entity, or in any country or territory, that at the time of the dealing or transaction is or was the subject of Sanctions.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(oo) </w:t>
      </w:r>
      <w:r>
        <w:rPr>
          <w:rFonts w:ascii="Times New Roman;Times;Serif" w:hAnsi="Times New Roman;Times;Serif"/>
          <w:b w:val="false"/>
          <w:i w:val="false"/>
          <w:caps w:val="false"/>
          <w:smallCaps w:val="false"/>
          <w:sz w:val="20"/>
          <w:u w:val="single"/>
        </w:rPr>
        <w:t>U.S. Real Property Holding Corporation</w:t>
      </w:r>
      <w:r>
        <w:rPr>
          <w:rFonts w:ascii="Times New Roman;Times;Serif" w:hAnsi="Times New Roman;Times;Serif"/>
          <w:b w:val="false"/>
          <w:i w:val="false"/>
          <w:caps w:val="false"/>
          <w:smallCaps w:val="false"/>
          <w:sz w:val="20"/>
        </w:rPr>
        <w:t>. The Company is not and has never been a U.S. real property holding corporation within the meaning of Section 897 of the Internal Revenue Code of 1986, as amended, and the Company shall so certify upon a Manager’s request.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w:t>
        <w:tab/>
      </w:r>
      <w:r>
        <w:rPr>
          <w:rFonts w:ascii="Times New Roman;Times;Serif" w:hAnsi="Times New Roman;Times;Serif"/>
          <w:b w:val="false"/>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Subsidiaries or Affiliates is subject to the Bank Holding Company Act of 1956, as amended (the “</w:t>
      </w:r>
      <w:r>
        <w:rPr>
          <w:rFonts w:ascii="Times New Roman;Times;Serif" w:hAnsi="Times New Roman;Times;Serif"/>
          <w:b w:val="false"/>
          <w:i w:val="false"/>
          <w:caps w:val="false"/>
          <w:smallCaps w:val="false"/>
          <w:sz w:val="20"/>
          <w:u w:val="single"/>
        </w:rPr>
        <w:t>BHCA</w:t>
      </w:r>
      <w:r>
        <w:rPr>
          <w:rFonts w:ascii="Times New Roman;Times;Serif" w:hAnsi="Times New Roman;Times;Serif"/>
          <w:b w:val="false"/>
          <w:i w:val="false"/>
          <w:caps w:val="false"/>
          <w:smallCaps w:val="false"/>
          <w:sz w:val="20"/>
        </w:rPr>
        <w:t>”) and to regulation by the Board of Governors of the Federal Reserve System (the “</w:t>
      </w:r>
      <w:r>
        <w:rPr>
          <w:rFonts w:ascii="Times New Roman;Times;Serif" w:hAnsi="Times New Roman;Times;Serif"/>
          <w:b w:val="false"/>
          <w:i w:val="false"/>
          <w:caps w:val="false"/>
          <w:smallCaps w:val="false"/>
          <w:sz w:val="20"/>
          <w:u w:val="single"/>
        </w:rPr>
        <w:t>Federal Reserve</w:t>
      </w:r>
      <w:r>
        <w:rPr>
          <w:rFonts w:ascii="Times New Roman;Times;Serif" w:hAnsi="Times New Roman;Times;Serif"/>
          <w:b w:val="false"/>
          <w:i w:val="false"/>
          <w:caps w:val="false"/>
          <w:smallCaps w:val="false"/>
          <w:sz w:val="20"/>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w:t>
        <w:tab/>
      </w:r>
      <w:r>
        <w:rPr>
          <w:rFonts w:ascii="Times New Roman;Times;Serif" w:hAnsi="Times New Roman;Times;Serif"/>
          <w:b w:val="false"/>
          <w:i w:val="false"/>
          <w:caps w:val="false"/>
          <w:smallCaps w:val="false"/>
          <w:sz w:val="20"/>
          <w:u w:val="single"/>
        </w:rPr>
        <w:t>Money Laundering</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w:t>
        <w:tab/>
      </w:r>
      <w:r>
        <w:rPr>
          <w:rFonts w:ascii="Times New Roman;Times;Serif" w:hAnsi="Times New Roman;Times;Serif"/>
          <w:b w:val="false"/>
          <w:i w:val="false"/>
          <w:caps w:val="false"/>
          <w:smallCaps w:val="false"/>
          <w:sz w:val="20"/>
          <w:u w:val="single"/>
        </w:rPr>
        <w:t>FINRA Member Shareholders</w:t>
      </w:r>
      <w:r>
        <w:rPr>
          <w:rFonts w:ascii="Times New Roman;Times;Serif" w:hAnsi="Times New Roman;Times;Serif"/>
          <w:b w:val="false"/>
          <w:i w:val="false"/>
          <w:caps w:val="false"/>
          <w:smallCaps w:val="false"/>
          <w:sz w:val="20"/>
        </w:rPr>
        <w:t>. There are no affiliations with any FINRA member firm among the Company’s officers, directors or, to the knowledge of the Company, any five percent (5%) or greater stockholder of the Company, except as set forth in the Registration Statement, the Base Prospectus, any Prospectus Supplement or the Prospectus.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w:t>
        <w:tab/>
      </w:r>
      <w:r>
        <w:rPr>
          <w:rFonts w:ascii="Times New Roman;Times;Serif" w:hAnsi="Times New Roman;Times;Serif"/>
          <w:b w:val="false"/>
          <w:i w:val="false"/>
          <w:caps w:val="false"/>
          <w:smallCaps w:val="false"/>
          <w:sz w:val="20"/>
          <w:u w:val="single"/>
        </w:rPr>
        <w:t>Qualified Independent Underwriter</w:t>
      </w:r>
      <w:r>
        <w:rPr>
          <w:rFonts w:ascii="Times New Roman;Times;Serif" w:hAnsi="Times New Roman;Times;Serif"/>
          <w:b w:val="false"/>
          <w:i w:val="false"/>
          <w:caps w:val="false"/>
          <w:smallCaps w:val="false"/>
          <w:sz w:val="20"/>
        </w:rPr>
        <w:t>. Except as disclosed in the Registration Statement and the Prospectus, the Company does not have a “conflict of interest” with any member participating in the distribution of the offering as such term is defined and in accordance with the provisions of Conduct Rule 5121 of FINRA. Except as described in the Registration Statement and the Prospectus, there are no affiliations among the Company’s directors and officers and members of FINRA. In connection with this Agreement, Brookline has agreed to act as such “qualified independent underwriter” within the meaning of FINRA 5121 (“</w:t>
      </w:r>
      <w:r>
        <w:rPr>
          <w:rFonts w:ascii="Times New Roman;Times;Serif" w:hAnsi="Times New Roman;Times;Serif"/>
          <w:b w:val="false"/>
          <w:i w:val="false"/>
          <w:caps w:val="false"/>
          <w:smallCaps w:val="false"/>
          <w:sz w:val="20"/>
          <w:u w:val="single"/>
        </w:rPr>
        <w:t>QIU</w:t>
      </w:r>
      <w:r>
        <w:rPr>
          <w:rFonts w:ascii="Times New Roman;Times;Serif" w:hAnsi="Times New Roman;Times;Serif"/>
          <w:b w:val="false"/>
          <w:i w:val="false"/>
          <w:caps w:val="false"/>
          <w:smallCaps w:val="false"/>
          <w:sz w:val="20"/>
        </w:rPr>
        <w:t>”) without additional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Agreements</w:t>
      </w:r>
      <w:r>
        <w:rPr>
          <w:rFonts w:ascii="Times New Roman;Times;Serif" w:hAnsi="Times New Roman;Times;Serif"/>
          <w:b w:val="false"/>
          <w:i w:val="false"/>
          <w:caps w:val="false"/>
          <w:smallCaps w:val="false"/>
          <w:sz w:val="20"/>
        </w:rPr>
        <w:t>. The Company agrees with each Manager that: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Right to Review Amendments and Supplements to Registration Statement and Prospectus</w:t>
      </w:r>
      <w:r>
        <w:rPr>
          <w:rFonts w:ascii="Times New Roman;Times;Serif" w:hAnsi="Times New Roman;Times;Serif"/>
          <w:b w:val="false"/>
          <w:i w:val="false"/>
          <w:caps w:val="false"/>
          <w:smallCaps w:val="false"/>
          <w:sz w:val="20"/>
        </w:rPr>
        <w:t>. During any period when the delivery of a prospectus relating to the Shares is required (including in circumstances where such requirement may be satisfied pursuant to Rule 172, 173 or any similar rule) to be delivered under the Act in connection with the offering or the sale of Shares, the Company will not file any amendment to the Registration Statement or supplement (including any Prospectus Supplement) to the Base Prospectus unless the Company has furnished to the Managers a copy for its review prior to filing and will not file any such proposed amendment or supplement to which the Managers reasonably object (provided, however, that the Company will have no obligation to provide the Managers an advance copy of such filing or to provide the Managers an opportunity to object to such filing if the filing does not name the Managers and does not relate to the transactions under this Agreement). The Company will cause any supplement to the Prospectus to be properly completed, in a form approved by the Managers, and will file such supplement with the Commission pursuant to the applicable paragraph of Rule 424(b) within the time period prescribed thereby and will provide evidence reasonably satisfactory to the Managers of such timely filing. The Company will promptly advise the Managers (i) when the Prospectus, and any supplement thereto, shall have been filed (if required) with the Commission pursuant to Rule 424(b), (ii) when, during any period when the delivery of a prospectus (whether physically or through compliance with Rule 172, 173 or any similar rule) is required under the Act in connection with the offering or sale of the Shares, any amendment to the Registration Statement shall have been filed or become effective (other than any annual report of the Company filed pursuant to Section 13(a) or 15(d) of the Exchange Act), (iii) of any request by the Commission or its staff for any amendment of the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Company of any notification with respect to the suspension of the qualification of the Shares for sale in any jurisdiction or the institution or threatening of any proceeding for such purpose. The Company will use its best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best efforts to have such amendment or new registration statement declared effective as soon as practicable.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Subsequent Events</w:t>
      </w:r>
      <w:r>
        <w:rPr>
          <w:rFonts w:ascii="Times New Roman;Times;Serif" w:hAnsi="Times New Roman;Times;Serif"/>
          <w:b w:val="false"/>
          <w:i w:val="false"/>
          <w:caps w:val="false"/>
          <w:smallCaps w:val="false"/>
          <w:sz w:val="20"/>
        </w:rPr>
        <w:t>. If, at any time on or after an Applicable Time but prior to the related Settlement Date, any event occurs as a result of which the Registration Statement or Prospectus would include any untrue statement of a material fact or omit to state any material fact necessary to make the statements therein, in the light of the circumstances under which they were made, not misleading, the Company will (i) notify promptly the Managers so that any use of the Registration Statement or Prospectus may cease until such are amended or supplemented; (ii) amend or supplement the Registration Statement or Prospectus to correct such statement or omission; and (iii) supply any such amendment or supplement to the Managers in such quantities as the Managers may reasonably request.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Notification of Subsequent Filings</w:t>
      </w:r>
      <w:r>
        <w:rPr>
          <w:rFonts w:ascii="Times New Roman;Times;Serif" w:hAnsi="Times New Roman;Times;Serif"/>
          <w:b w:val="false"/>
          <w:i w:val="false"/>
          <w:caps w:val="false"/>
          <w:smallCaps w:val="false"/>
          <w:sz w:val="20"/>
        </w:rPr>
        <w:t>. During any period when the delivery of a prospectus relating to the Shares is required (including in circumstances where such requirement may be satisfied pursuant to Rule 172, 173 or any similar rule) to be delivered under the Act, any event occurs as a result of which the Prospectus as then supplemented would include any untrue statement of a material fact or omit to state any material fact necessary to make the statements therein in the light of the circumstances under which they were made not misleading, or if it shall be necessary to amend the Registration Statement, file a new registration statement or supplement the Prospectus to comply with the Act or the Exchange Act or the respective rules thereunder, including in connection with use or delivery of the Prospectus, the Company promptly will (i) notify the Managers of any such event, (ii) subject to Section 4(a), prepare and file with the Commission an amendment or supplement or new registration statement which will correct such statement or omission or effect such compliance, (iii) use its best efforts to have any amendment to the Registration Statement or new registration statement declared effective as soon as practicable in order to avoid any disruption in use of the Prospectus and (iv) supply any supplemented Prospectus to the Managers in such quantities as the Managers may reasonably request.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Earnings Statements</w:t>
      </w:r>
      <w:r>
        <w:rPr>
          <w:rFonts w:ascii="Times New Roman;Times;Serif" w:hAnsi="Times New Roman;Times;Serif"/>
          <w:b w:val="false"/>
          <w:i w:val="false"/>
          <w:caps w:val="false"/>
          <w:smallCaps w:val="false"/>
          <w:sz w:val="20"/>
        </w:rPr>
        <w:t>. As soon as practicable, the Company will make generally available to its security holders and to the Managers an earnings statement or statements of the Company and its Subsidiaries which will satisfy the provisions of Section 11(a) of the Act and Rule 158. For the avoidance of doubt, the Company’s compliance with the reporting requirements of the Exchange Act shall be deemed to satisfy the requirements of this Section 4(d).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Delivery of Registration Statement</w:t>
      </w:r>
      <w:r>
        <w:rPr>
          <w:rFonts w:ascii="Times New Roman;Times;Serif" w:hAnsi="Times New Roman;Times;Serif"/>
          <w:b w:val="false"/>
          <w:i w:val="false"/>
          <w:caps w:val="false"/>
          <w:smallCaps w:val="false"/>
          <w:sz w:val="20"/>
        </w:rPr>
        <w:t>. Upon the request of a Manager, the Company will furnish to each Manager and counsel for the Managers, without charge, signed copies of the Registration Statement (including exhibits thereto) and, so long as delivery of a prospectus by the Managers or dealer may be required by the Act (including in circumstances where such requirement may be satisfied pursuant to Rule 172, 173 or any similar rule), as many copies of the Prospectus and each Issuer Free Writing Prospectus and any supplement thereto as the Managers may reasonably request. The Company will pay the expenses of printing or other production of all documents relating to the offering.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Qualification of Shares</w:t>
      </w:r>
      <w:r>
        <w:rPr>
          <w:rFonts w:ascii="Times New Roman;Times;Serif" w:hAnsi="Times New Roman;Times;Serif"/>
          <w:b w:val="false"/>
          <w:i w:val="false"/>
          <w:caps w:val="false"/>
          <w:smallCaps w:val="false"/>
          <w:sz w:val="20"/>
        </w:rPr>
        <w:t>. The Company will arrange, if necessary, for the qualification of the Shares for sale under the laws of such jurisdictions as Wainwright may designate and will maintain such qualifications in effect so long as required for the distribution of the Shares; provided that in no event shall the Company be obligated to qualify to do business in any jurisdiction where it is not now so qualified or to take any action that would subject it to service of process in suits, other than those arising out of the offering or sale of the Shares, in any jurisdiction where it is not now so subject.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Free Writing Prospectus</w:t>
      </w:r>
      <w:r>
        <w:rPr>
          <w:rFonts w:ascii="Times New Roman;Times;Serif" w:hAnsi="Times New Roman;Times;Serif"/>
          <w:b w:val="false"/>
          <w:i w:val="false"/>
          <w:caps w:val="false"/>
          <w:smallCaps w:val="false"/>
          <w:sz w:val="20"/>
        </w:rPr>
        <w:t>. The Company agrees that, unless it has or shall have obtained the prior written consent of the Managers, and each Manager agrees with the Company that, unless it has or shall have obtained, as the case may be, the prior written consent of the Company and the Managers, a Manager has not made and will not make any offer relating to the Shares that would constitute an Issuer Free Writing Prospectus or that would otherwise constitute a “free writing prospectus” (as defined in Rule 405) required to be filed by the Company with the Commission or retained by the Company under Rule 433. Any such free writing prospectus consented to by the Managers and the Company is hereinafter referred to as a “</w:t>
      </w:r>
      <w:r>
        <w:rPr>
          <w:rFonts w:ascii="Times New Roman;Times;Serif" w:hAnsi="Times New Roman;Times;Serif"/>
          <w:b w:val="false"/>
          <w:i w:val="false"/>
          <w:caps w:val="false"/>
          <w:smallCaps w:val="false"/>
          <w:sz w:val="20"/>
          <w:u w:val="single"/>
        </w:rPr>
        <w:t>Permitted Free Writing Prospectus</w:t>
      </w:r>
      <w:r>
        <w:rPr>
          <w:rFonts w:ascii="Times New Roman;Times;Serif" w:hAnsi="Times New Roman;Times;Serif"/>
          <w:b w:val="false"/>
          <w:i w:val="false"/>
          <w:caps w:val="false"/>
          <w:smallCaps w:val="false"/>
          <w:sz w:val="20"/>
        </w:rPr>
        <w:t>.” The Company agrees that (i) it has treated and will treat, as the case may be, each Permitted Free Writing Prospectus as an Issuer Free Writing Prospectus and (ii) it has complied and will comply, as the case may be, with the requirements of Rules 164 and 433 applicable to any Permitted Free Writing Prospectus, including in respect of timely filing with the Commission, legending and record keeping.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Subsequent Equity Issuances</w:t>
      </w:r>
      <w:r>
        <w:rPr>
          <w:rFonts w:ascii="Times New Roman;Times;Serif" w:hAnsi="Times New Roman;Times;Serif"/>
          <w:b w:val="false"/>
          <w:i w:val="false"/>
          <w:caps w:val="false"/>
          <w:smallCaps w:val="false"/>
          <w:sz w:val="20"/>
        </w:rPr>
        <w:t>. The Company shall not deliver any Sales Notice hereunder (and any Sales Notice previously delivered shall not apply during such two (2) Trading Days) for at least two (2) Trading Days prior to any date on which the Company or any Subsidiary offers, sells, issues, contracts to sell, contracts to issue or otherwise disposes of, directly or indirectly, any other shares of Common Stock or any Common Stock Equivalents (other than the Shares), subject to Wainwright’s right to waive this obligation, provided that, without compliance with the foregoing obligation, the Company may issue and sell Common Stock pursuant to any employee equity plan, stock ownership plan or dividend reinvestment plan of the Company in effect from time to time and set forth in the SEC Reports and the Company may issue Common Stock issuable upon the conversion or exercise of Common Stock Equivalents outstanding from time to time and set forth in the SEC Reports.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Market Manipulation</w:t>
      </w:r>
      <w:r>
        <w:rPr>
          <w:rFonts w:ascii="Times New Roman;Times;Serif" w:hAnsi="Times New Roman;Times;Serif"/>
          <w:b w:val="false"/>
          <w:i w:val="false"/>
          <w:caps w:val="false"/>
          <w:smallCaps w:val="false"/>
          <w:sz w:val="20"/>
        </w:rPr>
        <w:t>. Until the termination of this Agreement, the Company will not take, directly or indirectly, any action designed to or that would constitute or that might reasonably be expected to cause or result in, under the Exchange Act or otherwise, stabilization or manipulation in violation of the Act, Exchange Act or the rules and regulations thereunder of the price of any security of the Company to facilitate the sale or resale of the Shares or otherwise violate any provision of Regulation M under the Exchange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Notification of Incorrect Certificate</w:t>
      </w:r>
      <w:r>
        <w:rPr>
          <w:rFonts w:ascii="Times New Roman;Times;Serif" w:hAnsi="Times New Roman;Times;Serif"/>
          <w:b w:val="false"/>
          <w:i w:val="false"/>
          <w:caps w:val="false"/>
          <w:smallCaps w:val="false"/>
          <w:sz w:val="20"/>
        </w:rPr>
        <w:t>. The Company will, at any time during the term of this Agreement, as supplemented from time to time, advise the Managers immediately after the Company shall have received notice or obtained knowledge thereof, of any information or fact that would alter or affect any opinion, certificate, letter and other document provided to the Managers pursuant to Section 6 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Certification of Accuracy of Disclosure</w:t>
      </w:r>
      <w:r>
        <w:rPr>
          <w:rFonts w:ascii="Times New Roman;Times;Serif" w:hAnsi="Times New Roman;Times;Serif"/>
          <w:b w:val="false"/>
          <w:i w:val="false"/>
          <w:caps w:val="false"/>
          <w:smallCaps w:val="false"/>
          <w:sz w:val="20"/>
        </w:rPr>
        <w:t>. Upon commencement of the offering of the Shares under this Agreement (and upon the recommencement of the offering of the Shares under this Agreement following the termination of a suspension of sales hereunder lasting more than thirty (30) Trading Days), and each time that (i) a new Registration Statement is filed and declared effective by the Commission, (ii) the Registration Statement or Prospectus shall be amended or supplemented, other than by means of Incorporated Documents, (iii) the Company files its Annual Report on Form 10-K under the Exchange Act, (iv) the Company files its quarterly reports on Form 10-Q under the Exchange Act, (v) the Company files a Current Report on Form 8-K containing amended financial information (other than information that is furnished and not filed), if a Manager reasonably determines that the information in such Form 8-K is material, or (vi) the Shares are delivered to the Selling Manager as principal at the Time of Delivery pursuant to a Terms Agreement (such commencement or recommencement date and each such date referred to in (i), (ii), (iii), (iv), (v) and (vi) above, a “</w:t>
      </w:r>
      <w:r>
        <w:rPr>
          <w:rFonts w:ascii="Times New Roman;Times;Serif" w:hAnsi="Times New Roman;Times;Serif"/>
          <w:b w:val="false"/>
          <w:i w:val="false"/>
          <w:caps w:val="false"/>
          <w:smallCaps w:val="false"/>
          <w:sz w:val="20"/>
          <w:u w:val="single"/>
        </w:rPr>
        <w:t>Representation Date</w:t>
      </w:r>
      <w:r>
        <w:rPr>
          <w:rFonts w:ascii="Times New Roman;Times;Serif" w:hAnsi="Times New Roman;Times;Serif"/>
          <w:b w:val="false"/>
          <w:i w:val="false"/>
          <w:caps w:val="false"/>
          <w:smallCaps w:val="false"/>
          <w:sz w:val="20"/>
        </w:rPr>
        <w:t>”), the Company shall furnish or cause to be furnished to the Managers promptly a certificate dated and delivered on the Representation Date, in form reasonably satisfactory to Wainwright to the effect that the statements contained in the certificate referred to in Section 6 of this Agreement which were last furnished to the Managers are true and correct at the Representation Date, as though made at and as of such date (except that such statements shall be deemed to relate to the Registration Statement and the Prospectus as amended and supplemented to such date) or, in lieu of such certificate, a certificate of the same tenor as the certificate referred to in said Section 6, modified as necessary to relate to the Registration Statement and the Prospectus as amended and supplemented to the date of delivery of such certificate.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Bring Down Opinions; Negative Assurance</w:t>
      </w:r>
      <w:r>
        <w:rPr>
          <w:rFonts w:ascii="Times New Roman;Times;Serif" w:hAnsi="Times New Roman;Times;Serif"/>
          <w:b w:val="false"/>
          <w:i w:val="false"/>
          <w:caps w:val="false"/>
          <w:smallCaps w:val="false"/>
          <w:sz w:val="20"/>
        </w:rPr>
        <w:t>. Within five (5) Trading Days of each Representation Date, the Company shall furnish or cause to be furnished forthwith to the Managers and to counsel to the Managers a written opinion of counsel to the Company (“</w:t>
      </w:r>
      <w:r>
        <w:rPr>
          <w:rFonts w:ascii="Times New Roman;Times;Serif" w:hAnsi="Times New Roman;Times;Serif"/>
          <w:b w:val="false"/>
          <w:i w:val="false"/>
          <w:caps w:val="false"/>
          <w:smallCaps w:val="false"/>
          <w:sz w:val="20"/>
          <w:u w:val="single"/>
        </w:rPr>
        <w:t>Company Counsel</w:t>
      </w:r>
      <w:r>
        <w:rPr>
          <w:rFonts w:ascii="Times New Roman;Times;Serif" w:hAnsi="Times New Roman;Times;Serif"/>
          <w:b w:val="false"/>
          <w:i w:val="false"/>
          <w:caps w:val="false"/>
          <w:smallCaps w:val="false"/>
          <w:sz w:val="20"/>
        </w:rPr>
        <w:t>”), including a negative assurance representation, addressed to the Managers and dated and delivered within five (5) Trading Days of such Representation Date, in form and substance reasonably satisfactory to counsel for the Managers. The requirement to furnish or cause to be furnished an opinion (but not with respect to a negative assurance representation) under this Section 4(l) shall be waived for any Representation Date other than a Representation Date on which a new Registration Statement is filed and declared effective by the Commission or a material amendment to the Registration Statement or Prospectus is made or the Company files its Annual Report on Form 10-K or a material amendment thereto under the Exchange Act, unless a Manager reasonably requests such deliverable required by this Section 4(l) in connection with a Representation Date, upon which request such deliverable shall be deliverable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Auditor Bring Down “Comfort” Letter</w:t>
      </w:r>
      <w:r>
        <w:rPr>
          <w:rFonts w:ascii="Times New Roman;Times;Serif" w:hAnsi="Times New Roman;Times;Serif"/>
          <w:b w:val="false"/>
          <w:i w:val="false"/>
          <w:caps w:val="false"/>
          <w:smallCaps w:val="false"/>
          <w:sz w:val="20"/>
        </w:rPr>
        <w:t>. Within five (5) Trading Days of each Representation Date, the Company shall cause (1) the Company’s auditors (the “</w:t>
      </w:r>
      <w:r>
        <w:rPr>
          <w:rFonts w:ascii="Times New Roman;Times;Serif" w:hAnsi="Times New Roman;Times;Serif"/>
          <w:b w:val="false"/>
          <w:i w:val="false"/>
          <w:caps w:val="false"/>
          <w:smallCaps w:val="false"/>
          <w:sz w:val="20"/>
          <w:u w:val="single"/>
        </w:rPr>
        <w:t>Accountants</w:t>
      </w:r>
      <w:r>
        <w:rPr>
          <w:rFonts w:ascii="Times New Roman;Times;Serif" w:hAnsi="Times New Roman;Times;Serif"/>
          <w:b w:val="false"/>
          <w:i w:val="false"/>
          <w:caps w:val="false"/>
          <w:smallCaps w:val="false"/>
          <w:sz w:val="20"/>
        </w:rPr>
        <w:t>”), or other independent accountants satisfactory to the Managers forthwith to furnish the Managers a “comfort” letter, and (2) the Chief Financial Officer of the Company forthwith to furnish the Managers a certificate, in each case dated within five (5) Trading Days of such Representation Date, in form and substance satisfactory to counsel for the Managers, of the same tenor as the letters and certificate referred to in Section 6 of this Agreement but modified to relate to the Registration Statement and the Prospectus, as amended and supplemented to the date of such letters and certificate. The requirement to furnish or cause to be furnished a “comfort” letter under this Section 4(m) shall be waived for any Representation Date other than a Representation Date on which a new Registration Statement is filed and declared effective by the Commission or a material amendment to the Registration Statement or Prospectus is made or the Company files its Annual Report on Form 10-K or a material amendment thereto under the Exchange Act, unless a Manager reasonably requests the deliverable required by this Section 4(m) in connection with a Representation Date, upon which request such deliverable shall be deliverable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Due Diligence Session</w:t>
      </w:r>
      <w:r>
        <w:rPr>
          <w:rFonts w:ascii="Times New Roman;Times;Serif" w:hAnsi="Times New Roman;Times;Serif"/>
          <w:b w:val="false"/>
          <w:i w:val="false"/>
          <w:caps w:val="false"/>
          <w:smallCaps w:val="false"/>
          <w:sz w:val="20"/>
        </w:rPr>
        <w:t>. Upon commencement of the offering of the Shares under this Agreement (and upon the recommencement of the offering of the Shares under this Agreement following the termination of a suspension of sales hereunder lasting more than thirty (30) Trading Days), and at each Representation Date, the Company will conduct a due diligence session, in form and substance, reasonably satisfactory to the Managers, which shall include representatives of management, Company Counsel and Accountants. The Company shall cooperate timely with any reasonable due diligence request from or review conducted by the Managers or their respective agents from time to time in connection with the transactions contemplated by this Agreement, including, without limitation, providing information and available documents and access to appropriate corporate officers and the Company’s agents during regular business hours, and timely furnishing or causing to be furnished such certificates, letters and opinions from the Company, its officers and its agents, as a Manager may reasonably request. The Company shall reimburse Wainwright for Managers’ counsel’s fees in each such Representation Date, up to a maximum of $3,500 per Representation Date in connection with a Form 10-Q and $5,000 per Representation Date in connection with a Form 10-K or a new Registration Statement, Prospectus or Prospectus Supplement or an amendment to this Agreement, plus any incidental expense incurred by the Managers in connection therewith.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Acknowledgment of Trading</w:t>
      </w:r>
      <w:r>
        <w:rPr>
          <w:rFonts w:ascii="Times New Roman;Times;Serif" w:hAnsi="Times New Roman;Times;Serif"/>
          <w:b w:val="false"/>
          <w:i w:val="false"/>
          <w:caps w:val="false"/>
          <w:smallCaps w:val="false"/>
          <w:sz w:val="20"/>
        </w:rPr>
        <w:t>. The Company consents to the Managers trading in the Common Stock for each Manager’s own account and for the account of each Manager’s clients at the same time as sales of the Shares occur pursuant to this Agreement or pursuant to a Terms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Disclosure of Shares Sold</w:t>
      </w:r>
      <w:r>
        <w:rPr>
          <w:rFonts w:ascii="Times New Roman;Times;Serif" w:hAnsi="Times New Roman;Times;Serif"/>
          <w:b w:val="false"/>
          <w:i w:val="false"/>
          <w:caps w:val="false"/>
          <w:smallCaps w:val="false"/>
          <w:sz w:val="20"/>
        </w:rPr>
        <w:t>. The Company will disclose in its Annual Reports on Form 10-K and Quarterly Reports on Form 10-Q, as applicable, the number of Shares sold through the Managers under this Agreement, the Net Proceeds to the Company and the compensation paid by the Company with respect to sales of Shares pursuant to this Agreement during the relevant quarter; and, if required by any subsequent change in Commission policy or request, more frequently by means of a Current Report on Form 8-K or a further Prospectus Supplement.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Rescission Right</w:t>
      </w:r>
      <w:r>
        <w:rPr>
          <w:rFonts w:ascii="Times New Roman;Times;Serif" w:hAnsi="Times New Roman;Times;Serif"/>
          <w:b w:val="false"/>
          <w:i w:val="false"/>
          <w:caps w:val="false"/>
          <w:smallCaps w:val="false"/>
          <w:sz w:val="20"/>
        </w:rPr>
        <w:t>. If to the knowledge of the Company, the conditions set forth in Section 6 shall not have been satisfied as of the applicable Settlement Date, the Company will offer to any person who has agreed to purchase Shares from the Company as the result of an offer to purchase solicited by the Selling Manager the right to refuse to purchase and pay for such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Bring Down of Representations and Warranties</w:t>
      </w:r>
      <w:r>
        <w:rPr>
          <w:rFonts w:ascii="Times New Roman;Times;Serif" w:hAnsi="Times New Roman;Times;Serif"/>
          <w:b w:val="false"/>
          <w:i w:val="false"/>
          <w:caps w:val="false"/>
          <w:smallCaps w:val="false"/>
          <w:sz w:val="20"/>
        </w:rPr>
        <w:t>. Each acceptance by the Company of an offer to purchase the Shares hereunder, and each execution and delivery by the Company of a Terms Agreement, shall be deemed to be an affirmation to each Manager that the representations and warranties of the Company contained in or made pursuant to this Agreement are true and correct as of the date of such acceptance or of such Terms Agreement as though made at and as of such date, and an undertaking that such representations and warranties will be true and correct as of the Settlement Date for the Shares relating to such acceptance or as of the Time of Delivery relating to such sale, as the case may be, as though made at and as of such date (except that such representations and warranties shall be deemed to relate to the Registration Statement and the Prospectus as amended and supplemented relating to such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Reservation of Shares</w:t>
      </w:r>
      <w:r>
        <w:rPr>
          <w:rFonts w:ascii="Times New Roman;Times;Serif" w:hAnsi="Times New Roman;Times;Serif"/>
          <w:b w:val="false"/>
          <w:i w:val="false"/>
          <w:caps w:val="false"/>
          <w:smallCaps w:val="false"/>
          <w:sz w:val="20"/>
        </w:rPr>
        <w:t>. The Company shall ensure that there are, at all times, sufficient shares of Common Stock to provide for the issuance, free of any preemptive rights, out of its authorized but unissued shares of Common Stock or shares of Common Stock held in treasury, of the maximum aggregate number of Shares authorized for issuance by the Board pursuant to the terms of this Agreement. The Company will use its commercially reasonable efforts to cause the Shares to be listed for trading on the Trading Market and to maintain such listing.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Obligation Under Exchange Act</w:t>
      </w:r>
      <w:r>
        <w:rPr>
          <w:rFonts w:ascii="Times New Roman;Times;Serif" w:hAnsi="Times New Roman;Times;Serif"/>
          <w:b w:val="false"/>
          <w:i w:val="false"/>
          <w:caps w:val="false"/>
          <w:smallCaps w:val="false"/>
          <w:sz w:val="20"/>
        </w:rPr>
        <w:t>. During any period when the delivery of a prospectus relating to the Shares is required (including in circumstances where such requirement may be satisfied pursuant to Rule 172, 173 or any similar rule) to be delivered under the Act, the Company will file all documents required to be filed with the Commission pursuant to the Exchange Act within the time periods required by the Exchange Act and the regulations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DTC Facility</w:t>
      </w:r>
      <w:r>
        <w:rPr>
          <w:rFonts w:ascii="Times New Roman;Times;Serif" w:hAnsi="Times New Roman;Times;Serif"/>
          <w:b w:val="false"/>
          <w:i w:val="false"/>
          <w:caps w:val="false"/>
          <w:smallCaps w:val="false"/>
          <w:sz w:val="20"/>
        </w:rPr>
        <w:t>. The Company shall cooperate with the Managers and use its reasonable best efforts to permit the Shares to be eligible for clearance and settlement through the facilities of DTC.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will apply the Net Proceeds from the sale of the Shares in the manner set forth in the Prospectus.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Filing of Prospectus Supplement</w:t>
      </w:r>
      <w:r>
        <w:rPr>
          <w:rFonts w:ascii="Times New Roman;Times;Serif" w:hAnsi="Times New Roman;Times;Serif"/>
          <w:b w:val="false"/>
          <w:i w:val="false"/>
          <w:caps w:val="false"/>
          <w:smallCaps w:val="false"/>
          <w:sz w:val="20"/>
        </w:rPr>
        <w:t>. If any sales are made pursuant to this Agreement which are not made in “at the market” offerings as defined in Rule 415, including, without limitation, any Placement pursuant to a Terms Agreement, the Company shall file a Prospectus Supplement describing the terms of such transaction, the amount of Shares sold, the price thereof, the Managers’ compensation, and such other information as may be required pursuant to Rule 424 and Rule 430B, as applicable, within the time required by Rule 424.</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Additional Registration Statement</w:t>
      </w:r>
      <w:r>
        <w:rPr>
          <w:rFonts w:ascii="Times New Roman;Times;Serif" w:hAnsi="Times New Roman;Times;Serif"/>
          <w:b w:val="false"/>
          <w:i w:val="false"/>
          <w:caps w:val="false"/>
          <w:smallCaps w:val="false"/>
          <w:sz w:val="20"/>
        </w:rPr>
        <w:t>. To the extent that the Registration Statement is not available for the sales of the Shares as contemplated by this Agreement, the Company shall file a new registration statement with respect to any additional shares of Common Stock necessary to complete such sales of the Shares and shall cause such registration statement to become effective as promptly as practicable. After the effectiveness of any such registration statement, all references to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included in this Agreement shall be deemed to include such new registration statement, including all documents incorporated by reference therein pursuant to Item 12 of Form S-3, and all references to “</w:t>
      </w:r>
      <w:r>
        <w:rPr>
          <w:rFonts w:ascii="Times New Roman;Times;Serif" w:hAnsi="Times New Roman;Times;Serif"/>
          <w:b w:val="false"/>
          <w:i w:val="false"/>
          <w:caps w:val="false"/>
          <w:smallCaps w:val="false"/>
          <w:sz w:val="20"/>
          <w:u w:val="single"/>
        </w:rPr>
        <w:t>Base Prospectus</w:t>
      </w:r>
      <w:r>
        <w:rPr>
          <w:rFonts w:ascii="Times New Roman;Times;Serif" w:hAnsi="Times New Roman;Times;Serif"/>
          <w:b w:val="false"/>
          <w:i w:val="false"/>
          <w:caps w:val="false"/>
          <w:smallCaps w:val="false"/>
          <w:sz w:val="20"/>
        </w:rPr>
        <w:t>” included in this Agreement shall be deemed to include the final form of base prospectus, including all documents incorporated therein by reference, included in any such registration statement at the time such registration statement became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Payment of Expenses</w:t>
      </w:r>
      <w:r>
        <w:rPr>
          <w:rFonts w:ascii="Times New Roman;Times;Serif" w:hAnsi="Times New Roman;Times;Serif"/>
          <w:b w:val="false"/>
          <w:i w:val="false"/>
          <w:caps w:val="false"/>
          <w:smallCaps w:val="false"/>
          <w:sz w:val="20"/>
        </w:rPr>
        <w:t>. The Company agrees to pay the costs and expenses incident to the performance of its obligations under this Agreement, whether or not the transactions contemplated hereby are consummated, including without limitation: (i) the preparation, printing or reproduction and filing with the Commission of the Registration Statement (including financial statements and exhibits thereto), the Prospectus and each Issuer Free Writing Prospectus, and each amendment or supplement to any of them; (ii) the printing (or reproduction) and delivery (including postage, air freight charges and charges for counting and packaging) of such copies of the Registration Statement, the Prospectus, and each Issuer Free Writing Prospectus, and all amendments or supplements to any of them, as may, in each case, be reasonably requested for use in connection with the offering and sale of the Shares; (iii) the preparation, printing, authentication, issuance and delivery of certificates for the Shares, including any stamp or transfer taxes in connection with the original issuance and sale of the Shares; (iv) the printing (or reproduction) and delivery of this Agreement, any blue sky memorandum and all other agreements or documents printed (or reproduced) and delivered in connection with the offering of the Shares; (v) the registration of the Shares under the Exchange Act, if applicable, and the listing of the Shares on the Trading Market; (vi) any registration or qualification of the Shares for offer and sale under the securities or blue sky laws of the several states (including filing fees and the reasonable fees and expenses of counsel for the Managers relating to such registration and qualification); (vii) the transportation and other expenses incurred by or on behalf of Company representatives in connection with presentations to prospective purchasers of the Shares; (viii) the fees and expenses of the Company’s accountants and the fees and expenses of counsel (including local and special counsel) for the Company; (ix) the filing fee under FINRA Rule 5110; (x) [reserved]; (xi) the reasonable fees and expenses of the Managers’ counsel, not to exceed $50,000 (excluding any periodic due diligence fees provided for under Section 4(n)), which shall be paid at the Execution Time; and (xii) all other costs and expenses incident to the performance by the Company of its obligations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Conditions to the Obligations of the Managers</w:t>
      </w:r>
      <w:r>
        <w:rPr>
          <w:rFonts w:ascii="Times New Roman;Times;Serif" w:hAnsi="Times New Roman;Times;Serif"/>
          <w:b w:val="false"/>
          <w:i w:val="false"/>
          <w:caps w:val="false"/>
          <w:smallCaps w:val="false"/>
          <w:sz w:val="20"/>
        </w:rPr>
        <w:t>. The obligations of the Managers under this Agreement and any Terms Agreement shall be subject to (i) the accuracy of the representations and warranties on the part of the Company contained herein as of the Execution Time and each Representation Date, and as of each Applicable Time, Settlement Date and Time of Delivery, (ii) the performance by the Company of its obligations hereunder and (iii) the following additional conditions: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Effectiveness of the Registration Statement; Filing of Prospectus Supplement</w:t>
      </w:r>
      <w:r>
        <w:rPr>
          <w:rFonts w:ascii="Times New Roman;Times;Serif" w:hAnsi="Times New Roman;Times;Serif"/>
          <w:b w:val="false"/>
          <w:i w:val="false"/>
          <w:caps w:val="false"/>
          <w:smallCaps w:val="false"/>
          <w:sz w:val="20"/>
        </w:rPr>
        <w:t>. The Registration Statement shall have been declared effective by the Commission and the Prospectus, and any supplement thereto, required by Rule 424 to be filed with the Commission shall have been filed in the manner and within the time period required by Rule 424(b) with respect to any sale of Shares; each Prospectus Supplement shall have been filed in the manner required by Rule 424(b) within the time period required hereunder and under the Act; any other 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Delivery of Opinion</w:t>
      </w:r>
      <w:r>
        <w:rPr>
          <w:rFonts w:ascii="Times New Roman;Times;Serif" w:hAnsi="Times New Roman;Times;Serif"/>
          <w:b w:val="false"/>
          <w:i w:val="false"/>
          <w:caps w:val="false"/>
          <w:smallCaps w:val="false"/>
          <w:sz w:val="20"/>
        </w:rPr>
        <w:t>. The Company shall have caused the Company Counsel to furnish to the Managers its opinion and negative assurance representation, dated as of such date and addressed to the Managers in form and substance acceptable to counsel for the Managers.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Delivery of Officer’s Certificate</w:t>
      </w:r>
      <w:r>
        <w:rPr>
          <w:rFonts w:ascii="Times New Roman;Times;Serif" w:hAnsi="Times New Roman;Times;Serif"/>
          <w:b w:val="false"/>
          <w:i w:val="false"/>
          <w:caps w:val="false"/>
          <w:smallCaps w:val="false"/>
          <w:sz w:val="20"/>
        </w:rPr>
        <w:t>. The Company shall have furnished or caused to be furnished to the Managers a certificate of the Company signed by the Chief Executive Officer or the President and the principal financial or accounting officer of the Company, dated as of such date and addressed to the Managers, to the effect that the signers of such certificate have carefully examined the Registration Statement, the Prospectus, any Prospectus Supplement and any documents incorporated by reference therein and any supplements or amendments thereto and this Agreement and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representations and warranties of the Company in this Agreement are true and correct on and as of such date with the same effect as if made on such date and the Company has complied with all the agreements and satisfied all the conditions on its part to be performed or satisfied at or prior to such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stop order suspending the effectiveness of the Registration Statement or any notice objecting to its use has been issued and no proceedings for that purpose have been instituted or, to the Company’s knowledge, threatened;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since the date of the most recent financial statements included in the Registration Statement, the Prospectus and the Incorporated Documents, there has been no Material Adverse Effect on the condition (financial or otherwise), earnings, business or properties of the Company and its subsidiaries, taken as a whole, whether or not arising from transactions in the ordinary course of business, except as set forth in or contemplated in the Registration Statement and the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Delivery of Accountants’ “Comfort” Letter</w:t>
      </w:r>
      <w:r>
        <w:rPr>
          <w:rFonts w:ascii="Times New Roman;Times;Serif" w:hAnsi="Times New Roman;Times;Serif"/>
          <w:b w:val="false"/>
          <w:i w:val="false"/>
          <w:caps w:val="false"/>
          <w:smallCaps w:val="false"/>
          <w:sz w:val="20"/>
        </w:rPr>
        <w:t>. The Company shall have requested and caused the Accountants to have furnished to the Managers letters (which may refer to letters previously delivered to the Managers), dated as of such date and addressed to the Managers, in form and substance satisfactory to counsel for the Managers, confirming that they are independent accountants within the meaning of the Act and the Exchange Act and the respective applicable rules and regulations adopted by the Commission thereunder and that they have performed an audit of any audited financial information of the Company, and/or a review of any unaudited interim financial information of the Company included or incorporated by reference in the Registration Statement and the Prospectus and provide customary “comfort” as to such review in form and substance satisfactory to counsel for the Managers.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No Material Adverse Event</w:t>
      </w:r>
      <w:r>
        <w:rPr>
          <w:rFonts w:ascii="Times New Roman;Times;Serif" w:hAnsi="Times New Roman;Times;Serif"/>
          <w:b w:val="false"/>
          <w:i w:val="false"/>
          <w:caps w:val="false"/>
          <w:smallCaps w:val="false"/>
          <w:sz w:val="20"/>
        </w:rPr>
        <w:t>. Since the respective dates as of which information is disclosed in the Registration Statement, the Prospectus and the Incorporated Documents, except as otherwise stated therein, there shall not have been (i) any change or decrease in previously reported results specified in the letter or letters referred to in paragraph (d) of this Section 6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except as set forth in or contemplated in the Registration Statement, the Prospectus and the Incorporated Documents (exclusive of any amendment or supplement thereto) the effect of which, in any case referred to in clause (i) or (ii) above, is, in the sole judgment of the Selling Manager, so material and adverse as to make it impractical or inadvisable to proceed with the offering or delivery of the Shares as contemplated by the Registration Statement (exclusive of any amendment thereof), the Incorporated Documents and the Prospectus (exclusive of any amendment or supplement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Payment of All Fees</w:t>
      </w:r>
      <w:r>
        <w:rPr>
          <w:rFonts w:ascii="Times New Roman;Times;Serif" w:hAnsi="Times New Roman;Times;Serif"/>
          <w:b w:val="false"/>
          <w:i w:val="false"/>
          <w:caps w:val="false"/>
          <w:smallCaps w:val="false"/>
          <w:sz w:val="20"/>
        </w:rPr>
        <w:t>. The Company shall have paid the required Commission filing fees relating to the Shares within the time period required by Rule 456(b)(1)(i) of the Act without regard to the proviso therein and otherwise in accordance with Rules 456(b) and 457(r) of the Act and, if applicable, shall have updated the “Calculation of Registration Fee” table in accordance with Rule 456(b)(1)(ii) either in a post-effective amendment to the Registration Statement or on the cover page of a prospectus filed pursuant to Rule 424(b).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 FINRA Objections</w:t>
      </w:r>
      <w:r>
        <w:rPr>
          <w:rFonts w:ascii="Times New Roman;Times;Serif" w:hAnsi="Times New Roman;Times;Serif"/>
          <w:b w:val="false"/>
          <w:i w:val="false"/>
          <w:caps w:val="false"/>
          <w:smallCaps w:val="false"/>
          <w:sz w:val="20"/>
        </w:rPr>
        <w:t>. FINRA shall not have raised any objection with respect to the fairness and reasonableness of the terms and arrangements under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Shares Listed on Trading Market</w:t>
      </w:r>
      <w:r>
        <w:rPr>
          <w:rFonts w:ascii="Times New Roman;Times;Serif" w:hAnsi="Times New Roman;Times;Serif"/>
          <w:b w:val="false"/>
          <w:i w:val="false"/>
          <w:caps w:val="false"/>
          <w:smallCaps w:val="false"/>
          <w:sz w:val="20"/>
        </w:rPr>
        <w:t>. The Shares shall have been listed and admitted and authorized for trading on the Trading Market, and satisfactory evidence of such actions shall have been provided to the Managers.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Other Assurances</w:t>
      </w:r>
      <w:r>
        <w:rPr>
          <w:rFonts w:ascii="Times New Roman;Times;Serif" w:hAnsi="Times New Roman;Times;Serif"/>
          <w:b w:val="false"/>
          <w:i w:val="false"/>
          <w:caps w:val="false"/>
          <w:smallCaps w:val="false"/>
          <w:sz w:val="20"/>
        </w:rPr>
        <w:t>. Prior to each Settlement Date and Time of Delivery, as applicable, the Company shall have furnished to the Managers such further information, certificates and documents as the Managers may reasonably request.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Managers and counsel for the Managers, this Agreement and all obligations of the Managers hereunder may be canceled at, or at any time prior to, any Settlement Date or Time of Delivery, as applicable, by the Selling Manager. Notice of such cancellation shall be given to the Company in writing or by telephone and confirmed in writing by electronic mail.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required to be delivered by this Section 6 shall be delivered to the office of Ellenoff Grossman &amp; Schole LLP, counsel for the Managers, at 1345 Avenue of the Americas, New York, New York 10105, email: capmkts@egsllp.com, on each such date as provided in this Agreement.</w:t>
      </w:r>
    </w:p>
    <w:p>
      <w:pPr>
        <w:pStyle w:val="TextBody"/>
        <w:bidi w:val="0"/>
        <w:spacing w:before="0" w:after="0"/>
        <w:ind w:left="1995" w:right="1995"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Indemnification and Contribution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Indemnification by Company</w:t>
      </w:r>
      <w:r>
        <w:rPr>
          <w:rFonts w:ascii="Times New Roman;Times;Serif" w:hAnsi="Times New Roman;Times;Serif"/>
          <w:b w:val="false"/>
          <w:i w:val="false"/>
          <w:caps w:val="false"/>
          <w:smallCaps w:val="false"/>
          <w:sz w:val="20"/>
        </w:rPr>
        <w:t xml:space="preserve">. The Company agrees to indemnify and hold harmless each Manager, the directors, officers, employees and agents of such Manager and each person who controls such Manager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Shares as originally filed or in any amendment thereof, or in the Base Prospectus, any Prospectus Supplement, the Prospectus, any Issuer Free Writing Prospectus, or in any amendment thereof or supplement thereto, or arise out of or are based upon the omission or alleged omission to state therein a material fact required to be stated therein or necessary to make the statements therein not misleading or necessary to make the statements therein, in light of the circumstances under which they were made, not misleading, or arise out of or are based upon any Proceeding, commenced or threatened (whether or not a Manager is a target of or party to such Proceeding) or result from or relate to any breach of any of the representations, warranties, covenants or agreements made by the Company in this Agreement, and agrees to reimburse each such indemnified party for any legal or other expenses reasonably incurred by them in connection with investigating or defending any such loss, claim, damage, liability or 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will not be liable in any such case to a Manager to the extent that any such loss, claim, damage or liability arises out of or is based upon any such untrue statement or alleged untrue statement or omission or alleged omission made therein in reliance upon and in conformity with written information furnished to the Company by such Manager specifically for inclusion therein. This indemnity agreement will be in addition to any liability that the Company may otherwise have.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Indemnification by each Manager</w:t>
      </w:r>
      <w:r>
        <w:rPr>
          <w:rFonts w:ascii="Times New Roman;Times;Serif" w:hAnsi="Times New Roman;Times;Serif"/>
          <w:b w:val="false"/>
          <w:i w:val="false"/>
          <w:caps w:val="false"/>
          <w:smallCaps w:val="false"/>
          <w:sz w:val="20"/>
        </w:rPr>
        <w:t xml:space="preserve">. Each of the Managers, severally and not jointly with the other Manager, agrees to indemnify and hold harmless the Company, each of its directors, each of its officers who signs the Registration Statement, and each person who controls the Company within the meaning of either the Act or the Exchange Act, to the same extent as the foregoing indemnity from the Company to such Manager, but only with reference to written information relating to such Manager furnished to the Company by such Manager specifically for inclusion in the documents referred to in the foregoing indemnity;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case shall a Manager be responsible for any amount in excess of the Broker Fee applicable to the Shares and paid hereunder to such Manager. This indemnity agreement will be in addition to any liability which a Manager may otherwise have.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Indemnification Procedures</w:t>
      </w:r>
      <w:r>
        <w:rPr>
          <w:rFonts w:ascii="Times New Roman;Times;Serif" w:hAnsi="Times New Roman;Times;Serif"/>
          <w:b w:val="false"/>
          <w:i w:val="false"/>
          <w:caps w:val="false"/>
          <w:smallCaps w:val="false"/>
          <w:sz w:val="20"/>
        </w:rPr>
        <w:t xml:space="preserve">. Promptly after receipt by an indemnified party under this Section 7 of notice of the commencement of any action, such indemnified party will, if a claim in respect thereof is to be made against the indemnifying party under this Section 7,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In the event that the indemnity provided in paragraph (a), (b) or (c) of this Section 7 is unavailable to or insufficient to hold harmless an indemnified party for any reason, the Company and each of the Managers, severally and not jointly with the other Manager, agree to contribute to the aggregate losses, claims, damages and liabilities (including legal or other expenses reasonably incurred in connection with investigating or defending the same) (collectively “</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xml:space="preserve">”) to which the Company and a Manager may be subject in such proportion as is appropriate to reflect the relative benefits received by the Company on the one hand and by such Manager on the other from the offering of the Shares;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case shall a Manager be responsible for any amount in excess of the Broker Fee applicable to the Shares and paid hereunder to such Manager. If the allocation provided by the immediately preceding sentence is unavailable for any reason, the Company and each Manager, severally and not jointly with the other Manager, severally shall contribute in such proportion as is appropriate to reflect not only such relative benefits but also the relative fault of the Company on the one hand and such Manager on the other in connection with the statements or omissions which resulted in such Losses as well as any other relevant equitable considerations. Benefits received by the Company shall be deemed to be equal to the total net proceeds from the offering (before deducting expenses) received by it, and benefits received by a Manager shall be deemed to be equal to the Broker Fee applicable to the Shares and paid hereunder as determined by this Agreement. Relative fault shall be determined by reference to, among other things, whether any untrue or any alleged untrue statement of a material fact or the omission or alleged omission to state a material fact relates to information provided by the Company on the one hand or a Manager on the other, the intent of the parties and their relative knowledge, access to information and opportunity to correct or prevent such untrue statement or omission. The Company and each of the Managers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7, each person who controls a Manager within the meaning of either the Act or the Exchange Act and each director, officer, employee and agent of such Manager shall have the same rights to contribution as such Manager, and each person who controls the Company within the meaning of either the Act or the Exchange Act, each officer of the Company who shall have signed the Registration Statement and each director of the Company shall have the same rights to contribution as the Company, subject in each case to the applicable terms and conditions of this paragraph (d).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Indemnification of the QIU</w:t>
      </w:r>
      <w:r>
        <w:rPr>
          <w:rFonts w:ascii="Times New Roman;Times;Serif" w:hAnsi="Times New Roman;Times;Serif"/>
          <w:b w:val="false"/>
          <w:i w:val="false"/>
          <w:caps w:val="false"/>
          <w:smallCaps w:val="false"/>
          <w:sz w:val="20"/>
        </w:rPr>
        <w:t>. Without limitation and in addition to its obligation under the other subsections of this Section 7, the Company agrees to indemnify and hold harmless Brookline in its capacity as the QIU, its directors, officers, agents, partners, members and employees and each controlling person from and against any and all loss, liability, claim, damage and expense, as incurred, arising out of or based upon the QIU’s acting as a “qualified independent underwriter” (within the meaning of Rule 5121 of the Rules of FINRA) in connection with the offering contemplated by this Agreement, and agrees to reimburse each such indemnified person for any legal or other expense reasonably incurred by them in connection with investigating, defending, settling, compromising or paying any such loss, claim, damage, liability, expense or action; provided, however, that the Company shall not be liable in any such case to the extent that any such loss, claim, damage, liability or expense results from the gross negligence or willful misconduct of the QIU. Notwithstanding the indemnification set forth in this Section 7(e), Brookline will undertake liability under Section 11 of the Exchange Act for acting as a qualified independent underwriter in connection with the offering in compliance with FINRA Rule 5121(f)(12)(C).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spacing w:before="0" w:after="0"/>
        <w:ind w:left="720" w:right="1995"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have the right, by giving written notice to the Managers as hereinafter specified, to terminate the provisions of this Agreement relating to the solicitation of offers to purchase the Shares in its sole discretion at any time upon ten (10) Business Days’ prior written notice. Any such termination shall be without liability of any party to any other party except that (i) with respect to any pending sale, through the Selling Manager for the Company, the obligations of the Company, including in respect of compensation of the Selling Manager, shall remain in full force and effect notwithstanding the termination and (ii) the provisions of Sections 5, 6, 7, 8, 9, 10, 12, the second sentence of 13, 14, 16 and 18 of this Agreement shall remain in full force and effect notwithstanding such termination.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Wainwright shall have the right, by giving written notice to the other parties hereto as hereinafter specified, to terminate the provisions of this Agreement relating to the solicitation of offers to purchase the Shares in its sole discretion at any time. Any such termination shall be without liability of any party to any other party except that the provisions of Sections 5, 6, 7, 8, 9, 10, 12, the second sentence of 13, 14, 16 and 18 of this Agreement shall remain in full force and effect notwithstanding such termination.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Agreement shall remain in full force and effect until the date that this Agreement is terminated pursuant to Sections 8(a) or (b) above or otherwise by mutual agreement of the Company and Wainwright, provided that any such termination by mutual agreement shall in all cases be deemed to provide that Sections 5, 6, 7, 8, 9, 10, 12, the second sentence of 13, 14, 16 and 18 of this Agreement shall remain in full force and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Brookline shall have the right, by giving written notice to the other parties hereto as hereinafter specified, to terminate the provisions of this Agreement relating to Brookline only in its sole discretion at any time upon ten (10) Business Days’ prior written notice.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termination of this Agreement shall be effective on the date specified in such notice of termination, provided that such termination shall not be effective until the close of business on the date of receipt of such notice by Wainwright or the Company, as the case may be. If such termination shall occur prior to the Settlement Date or Time of Delivery for any sale of the Shares, such sale of the Shares shall settle in accordance with the provisions of Section 2(b)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the case of any purchase of Shares by the Selling Manager pursuant to a Terms Agreement, the obligations of the Selling Manager pursuant to such Terms Agreement shall be subject to termination, in the absolute discretion of the Selling Manager, by prompt oral notice given to the Company prior to the Time of Delivery relating to such Shares, if any, and confirmed promptly by electronic mail, if since the time of execution of the Terms Agreement and prior to such delivery and payment, (i) trading in the Common Stock shall have been suspended by the Commission or the Trading Market or trading in securities generally on the Trading Market shall have been suspended or limited or minimum prices shall have been established on such exchange, (ii) a banking moratorium shall have been declared either by Federal or New York State authorities or (iii) there shall have occurred any outbreak or escalation of hostilities, declaration by the United States of a national emergency or war, or other calamity or crisis the effect of which on financial markets is such as to make it, in the sole judgment of the Selling Manager, impractical or inadvisable to proceed with the offering or delivery of the Shares as contemplated by the Prospectus (exclusive of any amendment or supplement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Representations and Indemnities to Survive</w:t>
      </w:r>
      <w:r>
        <w:rPr>
          <w:rFonts w:ascii="Times New Roman;Times;Serif" w:hAnsi="Times New Roman;Times;Serif"/>
          <w:b w:val="false"/>
          <w:i w:val="false"/>
          <w:caps w:val="false"/>
          <w:smallCaps w:val="false"/>
          <w:sz w:val="20"/>
        </w:rPr>
        <w:t>. The respective agreements, representations, warranties, indemnities and other statements of the Company or its officers and of each Manager set forth in or made pursuant to this Agreement will remain in full force and effect, regardless of any investigation made by a Manager or the Company or any of the officers, directors, employees, agents or controlling persons referred to in Section 7, and will survive delivery of and payment for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communications hereunder will be in writing and effective only on receipt, and will be mailed, delivered, or e-mailed to the addresses of the Company and each Manager set forth on the signature page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 This Agreement will inure to the benefit of and be binding upon the parties hereto and their respective successors and the officers, directors, employees, agents and controlling persons referred to in Section 7, and no other person will have any right or obligation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No Fiduciary Duty</w:t>
      </w:r>
      <w:r>
        <w:rPr>
          <w:rFonts w:ascii="Times New Roman;Times;Serif" w:hAnsi="Times New Roman;Times;Serif"/>
          <w:b w:val="false"/>
          <w:i w:val="false"/>
          <w:caps w:val="false"/>
          <w:smallCaps w:val="false"/>
          <w:sz w:val="20"/>
        </w:rPr>
        <w:t>. The Company hereby acknowledges that (a) the purchase and sale of the Shares pursuant to this Agreement is an arm’s-length commercial transaction between the Company, on the one hand, and each Manager and any affiliate through which it may be acting, on the other, (b) each Manager is acting solely as sales agent and/or principal in connection with the purchase and sale of the Company’s securities and not as a fiduciary of the Company and (c) the Company’s engagement of each Manager in connection with the offering and the process leading up to the offering is as independent contractor and not in any other capacity. Furthermore, the Company agrees that it is solely responsible for making its own judgments in connection with the offering (irrespective of whether a Manager has advised or is currently advising the Company on related or other matters). The Company agrees that it will not claim that a Manager has rendered advisory services of any nature or respect, or owe an agency, fiduciary or similar duty to the Company, in connection with such transaction or the process leading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and any Terms Agreement supersede all prior agreements and understandings (whether written or oral) between the Company and each Manager with respect to the subject matter hereof. Notwithstanding anything herein to the contrary, the letter agreement, dated August 3, 2026, by and between the Company and Wainwright shall continue to be effective and the terms therein shall continue to survive and be enforceable by Wainwright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No provision of this Agreement may be waived, modified, supplemented or amended except in a written instrument signed, in the case of an amendment, by the Company and Wainwright. Brookline acknowledges and agrees that an amendment to this Agreement may terminate Brookline as Manager and terminate this Agreement with respect to Brookline.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This Agreement and any Terms Agreement will be governed by and construed in accordance with the laws of the State of New York applicable to contracts made and to be performed within the State of New York. Each of the Company and each of the Managers: (i) agrees that any legal suit, action or proceeding arising out of or relating to this Agreement shall be instituted exclusively in New York Supreme Court, County of New York, or in the United States District Court for the Southern District of New York, (ii) waives any objection which it may have or hereafter to the venue of any such suit, action or proceeding, and (iii) irrevocably consents to the exclusive jurisdiction of the New York Supreme Court, County of New York, and the United States District Court for the Southern District of New York in any such suit, action or proceeding. Each of the Company and each of the Managers further agrees to accept and acknowledge service of any and all process which may be served in any such suit, action or proceeding in the New York Supreme Court, County of New York, or in the United States District Court for the Southern District of New York and agrees that service of process upon the Company mailed by certified mail to the Company’s address shall be deemed in every respect effective service of process upon the Company, in any such suit, action or proceeding, and service of process upon each Manager mailed by certified mail to such Manager’s address shall be deemed in every respect effective service process upon such Manager, in any such suit, action or proceeding. If either party shall commence an action or proceeding to enforce any provision of this Agreement, then the prevailing party in such action or proceeding shall be reimbursed by the other party for its reasonable attorney’s fees and other costs and expenses incurred with the investigation, preparation and prosecution of such action or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sz w:val="20"/>
        </w:rPr>
      </w:pPr>
      <w:r>
        <w:rPr>
          <w:rFonts w:ascii="Times New Roman;Times;Serif" w:hAnsi="Times New Roman;Times;Serif"/>
          <w:b/>
          <w:i w:val="false"/>
          <w:caps/>
          <w:sz w:val="20"/>
        </w:rPr>
        <w:t xml:space="preserve">16. </w:t>
      </w:r>
      <w:r>
        <w:rPr>
          <w:rFonts w:ascii="Times New Roman;Times;Serif" w:hAnsi="Times New Roman;Times;Serif"/>
          <w:b/>
          <w:i w:val="false"/>
          <w:caps/>
          <w:sz w:val="20"/>
          <w:u w:val="single"/>
        </w:rPr>
        <w:t>Waiver of Jury Trial</w:t>
      </w:r>
      <w:r>
        <w:rPr>
          <w:rFonts w:ascii="Times New Roman;Times;Serif" w:hAnsi="Times New Roman;Times;Serif"/>
          <w:b/>
          <w:i w:val="false"/>
          <w:caps/>
          <w:sz w:val="20"/>
        </w:rPr>
        <w:t xml:space="preserve">. The Company hereby irrevocably waives, to the fullest extent permitted by applicable law, any and all right to trial by jury in any legal proceeding arising out of or relating to this Agreement, any Terms Agreement or the transactions contemplated hereby or thereby.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and any Terms Agreement may be executed in one or more counterparts, each one of which shall be an original, with the same effect as if the signatures thereto and hereto were upon one and the same agreement. Counterparts may be delivered via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section headings used in this Agreement and any Terms Agreement are for convenience only and shall not affect the construction hereof.</w:t>
      </w:r>
    </w:p>
    <w:p>
      <w:pPr>
        <w:pStyle w:val="TextBody"/>
        <w:bidi w:val="0"/>
        <w:spacing w:before="0" w:after="0"/>
        <w:ind w:left="1995" w:right="1995"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of our agreement, please sign and return to us the enclosed duplicate hereof, whereupon this letter and your acceptance shall represent a binding agreement among the Company and each Manager.</w:t>
      </w:r>
    </w:p>
    <w:p>
      <w:pPr>
        <w:pStyle w:val="TextBody"/>
        <w:bidi w:val="0"/>
        <w:spacing w:before="0" w:after="0"/>
        <w:ind w:left="1995" w:right="1995" w:hanging="0"/>
        <w:jc w:val="left"/>
        <w:rPr>
          <w:caps w:val="false"/>
          <w:smallCaps w:val="false"/>
        </w:rPr>
      </w:pPr>
      <w:r>
        <w:rPr>
          <w:caps w:val="false"/>
          <w:smallCaps w:val="false"/>
        </w:rPr>
        <w:t> </w:t>
      </w:r>
    </w:p>
    <w:tbl>
      <w:tblPr>
        <w:tblW w:w="8869" w:type="dxa"/>
        <w:jc w:val="left"/>
        <w:tblInd w:w="0" w:type="dxa"/>
        <w:tblLayout w:type="fixed"/>
        <w:tblCellMar>
          <w:top w:w="0" w:type="dxa"/>
          <w:left w:w="0" w:type="dxa"/>
          <w:bottom w:w="0" w:type="dxa"/>
          <w:right w:w="0" w:type="dxa"/>
        </w:tblCellMar>
      </w:tblPr>
      <w:tblGrid>
        <w:gridCol w:w="2486"/>
        <w:gridCol w:w="6181"/>
        <w:gridCol w:w="202"/>
      </w:tblGrid>
      <w:tr>
        <w:trPr/>
        <w:tc>
          <w:tcPr>
            <w:tcW w:w="8667" w:type="dxa"/>
            <w:gridSpan w:val="2"/>
            <w:tcBorders/>
            <w:vAlign w:val="center"/>
          </w:tcPr>
          <w:p>
            <w:pPr>
              <w:pStyle w:val="TableContents"/>
              <w:bidi w:val="0"/>
              <w:spacing w:before="0" w:after="283"/>
              <w:jc w:val="left"/>
              <w:rPr/>
            </w:pPr>
            <w:r>
              <w:rPr/>
              <w:t>Very truly yours,</w:t>
            </w:r>
          </w:p>
        </w:tc>
        <w:tc>
          <w:tcPr>
            <w:tcW w:w="202" w:type="dxa"/>
            <w:tcBorders/>
            <w:vAlign w:val="center"/>
          </w:tcPr>
          <w:p>
            <w:pPr>
              <w:pStyle w:val="TableContents"/>
              <w:bidi w:val="0"/>
              <w:spacing w:before="0" w:after="283"/>
              <w:jc w:val="left"/>
              <w:rPr/>
            </w:pPr>
            <w:r>
              <w:rPr/>
              <w:t> </w:t>
            </w:r>
          </w:p>
        </w:tc>
      </w:tr>
      <w:tr>
        <w:trPr/>
        <w:tc>
          <w:tcPr>
            <w:tcW w:w="8667" w:type="dxa"/>
            <w:gridSpan w:val="2"/>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8667" w:type="dxa"/>
            <w:gridSpan w:val="2"/>
            <w:tcBorders/>
            <w:vAlign w:val="center"/>
          </w:tcPr>
          <w:p>
            <w:pPr>
              <w:pStyle w:val="TableContents"/>
              <w:bidi w:val="0"/>
              <w:spacing w:before="0" w:after="283"/>
              <w:jc w:val="left"/>
              <w:rPr>
                <w:b/>
                <w:caps/>
              </w:rPr>
            </w:pPr>
            <w:r>
              <w:rPr>
                <w:b/>
                <w:caps/>
              </w:rPr>
              <w:t>Niki BioSolutions, Inc.</w:t>
            </w:r>
          </w:p>
        </w:tc>
        <w:tc>
          <w:tcPr>
            <w:tcW w:w="202" w:type="dxa"/>
            <w:tcBorders/>
            <w:vAlign w:val="center"/>
          </w:tcPr>
          <w:p>
            <w:pPr>
              <w:pStyle w:val="TableContents"/>
              <w:bidi w:val="0"/>
              <w:spacing w:before="0" w:after="283"/>
              <w:jc w:val="left"/>
              <w:rPr/>
            </w:pPr>
            <w:r>
              <w:rPr/>
              <w:t> </w:t>
            </w:r>
          </w:p>
        </w:tc>
      </w:tr>
      <w:tr>
        <w:trPr/>
        <w:tc>
          <w:tcPr>
            <w:tcW w:w="8667" w:type="dxa"/>
            <w:gridSpan w:val="2"/>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2486" w:type="dxa"/>
            <w:tcBorders/>
            <w:vAlign w:val="center"/>
          </w:tcPr>
          <w:p>
            <w:pPr>
              <w:pStyle w:val="TableContents"/>
              <w:bidi w:val="0"/>
              <w:spacing w:before="0" w:after="283"/>
              <w:jc w:val="left"/>
              <w:rPr/>
            </w:pPr>
            <w:r>
              <w:rPr/>
              <w:t>By:</w:t>
            </w:r>
          </w:p>
        </w:tc>
        <w:tc>
          <w:tcPr>
            <w:tcW w:w="6181" w:type="dxa"/>
            <w:tcBorders>
              <w:bottom w:val="single" w:sz="12" w:space="0" w:color="000000"/>
            </w:tcBorders>
            <w:tcMar>
              <w:bottom w:w="28" w:type="dxa"/>
            </w:tcMar>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2486" w:type="dxa"/>
            <w:tcBorders/>
            <w:vAlign w:val="center"/>
          </w:tcPr>
          <w:p>
            <w:pPr>
              <w:pStyle w:val="TableContents"/>
              <w:bidi w:val="0"/>
              <w:spacing w:before="0" w:after="283"/>
              <w:jc w:val="left"/>
              <w:rPr/>
            </w:pPr>
            <w:r>
              <w:rPr/>
              <w:t>Name: </w:t>
            </w:r>
          </w:p>
        </w:tc>
        <w:tc>
          <w:tcPr>
            <w:tcW w:w="6181"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2486" w:type="dxa"/>
            <w:tcBorders/>
            <w:vAlign w:val="center"/>
          </w:tcPr>
          <w:p>
            <w:pPr>
              <w:pStyle w:val="TableContents"/>
              <w:bidi w:val="0"/>
              <w:spacing w:before="0" w:after="283"/>
              <w:jc w:val="left"/>
              <w:rPr/>
            </w:pPr>
            <w:r>
              <w:rPr/>
              <w:t>Title:</w:t>
            </w:r>
          </w:p>
        </w:tc>
        <w:tc>
          <w:tcPr>
            <w:tcW w:w="6181"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8667" w:type="dxa"/>
            <w:gridSpan w:val="2"/>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8667" w:type="dxa"/>
            <w:gridSpan w:val="2"/>
            <w:tcBorders/>
            <w:vAlign w:val="center"/>
          </w:tcPr>
          <w:p>
            <w:pPr>
              <w:pStyle w:val="TableContents"/>
              <w:bidi w:val="0"/>
              <w:spacing w:before="0" w:after="283"/>
              <w:jc w:val="left"/>
              <w:rPr/>
            </w:pPr>
            <w:r>
              <w:rPr>
                <w:u w:val="single"/>
              </w:rPr>
              <w:t>Address for Notice</w:t>
            </w:r>
            <w:r>
              <w:rPr/>
              <w:t>:</w:t>
            </w:r>
          </w:p>
        </w:tc>
        <w:tc>
          <w:tcPr>
            <w:tcW w:w="202" w:type="dxa"/>
            <w:tcBorders/>
            <w:vAlign w:val="center"/>
          </w:tcPr>
          <w:p>
            <w:pPr>
              <w:pStyle w:val="TableContents"/>
              <w:bidi w:val="0"/>
              <w:spacing w:before="0" w:after="283"/>
              <w:jc w:val="left"/>
              <w:rPr/>
            </w:pPr>
            <w:r>
              <w:rPr/>
              <w:t> </w:t>
            </w:r>
          </w:p>
        </w:tc>
      </w:tr>
      <w:tr>
        <w:trPr/>
        <w:tc>
          <w:tcPr>
            <w:tcW w:w="8667" w:type="dxa"/>
            <w:gridSpan w:val="2"/>
            <w:tcBorders/>
            <w:vAlign w:val="center"/>
          </w:tcPr>
          <w:p>
            <w:pPr>
              <w:pStyle w:val="TableContents"/>
              <w:bidi w:val="0"/>
              <w:spacing w:before="0" w:after="283"/>
              <w:jc w:val="left"/>
              <w:rPr/>
            </w:pPr>
            <w:r>
              <w:rPr/>
              <w:t>116 Village Boulevard, Suite 200</w:t>
            </w:r>
          </w:p>
        </w:tc>
        <w:tc>
          <w:tcPr>
            <w:tcW w:w="202" w:type="dxa"/>
            <w:tcBorders/>
            <w:vAlign w:val="center"/>
          </w:tcPr>
          <w:p>
            <w:pPr>
              <w:pStyle w:val="TableContents"/>
              <w:bidi w:val="0"/>
              <w:spacing w:before="0" w:after="283"/>
              <w:jc w:val="left"/>
              <w:rPr/>
            </w:pPr>
            <w:r>
              <w:rPr/>
              <w:t> </w:t>
            </w:r>
          </w:p>
        </w:tc>
      </w:tr>
      <w:tr>
        <w:trPr/>
        <w:tc>
          <w:tcPr>
            <w:tcW w:w="8667" w:type="dxa"/>
            <w:gridSpan w:val="2"/>
            <w:tcBorders/>
            <w:vAlign w:val="center"/>
          </w:tcPr>
          <w:p>
            <w:pPr>
              <w:pStyle w:val="TableContents"/>
              <w:bidi w:val="0"/>
              <w:spacing w:before="0" w:after="283"/>
              <w:jc w:val="left"/>
              <w:rPr/>
            </w:pPr>
            <w:r>
              <w:rPr/>
              <w:t>Princeton, New Jersey 08540</w:t>
            </w:r>
          </w:p>
        </w:tc>
        <w:tc>
          <w:tcPr>
            <w:tcW w:w="202" w:type="dxa"/>
            <w:tcBorders/>
            <w:vAlign w:val="center"/>
          </w:tcPr>
          <w:p>
            <w:pPr>
              <w:pStyle w:val="TableContents"/>
              <w:bidi w:val="0"/>
              <w:spacing w:before="0" w:after="283"/>
              <w:jc w:val="left"/>
              <w:rPr/>
            </w:pPr>
            <w:r>
              <w:rPr/>
              <w:t> </w:t>
            </w:r>
          </w:p>
        </w:tc>
      </w:tr>
      <w:tr>
        <w:trPr/>
        <w:tc>
          <w:tcPr>
            <w:tcW w:w="8667" w:type="dxa"/>
            <w:gridSpan w:val="2"/>
            <w:tcBorders/>
            <w:vAlign w:val="center"/>
          </w:tcPr>
          <w:p>
            <w:pPr>
              <w:pStyle w:val="TableContents"/>
              <w:bidi w:val="0"/>
              <w:spacing w:before="0" w:after="283"/>
              <w:jc w:val="left"/>
              <w:rPr/>
            </w:pPr>
            <w:r>
              <w:rPr/>
              <w:t>Attention:</w:t>
            </w:r>
          </w:p>
        </w:tc>
        <w:tc>
          <w:tcPr>
            <w:tcW w:w="202" w:type="dxa"/>
            <w:tcBorders/>
            <w:vAlign w:val="center"/>
          </w:tcPr>
          <w:p>
            <w:pPr>
              <w:pStyle w:val="TableContents"/>
              <w:bidi w:val="0"/>
              <w:spacing w:before="0" w:after="283"/>
              <w:jc w:val="left"/>
              <w:rPr/>
            </w:pPr>
            <w:r>
              <w:rPr/>
              <w:t> </w:t>
            </w:r>
          </w:p>
        </w:tc>
      </w:tr>
      <w:tr>
        <w:trPr/>
        <w:tc>
          <w:tcPr>
            <w:tcW w:w="8667" w:type="dxa"/>
            <w:gridSpan w:val="2"/>
            <w:tcBorders/>
            <w:vAlign w:val="center"/>
          </w:tcPr>
          <w:p>
            <w:pPr>
              <w:pStyle w:val="TableContents"/>
              <w:bidi w:val="0"/>
              <w:spacing w:before="0" w:after="283"/>
              <w:jc w:val="left"/>
              <w:rPr/>
            </w:pPr>
            <w:r>
              <w:rPr/>
              <w:t>E-mail:</w:t>
            </w:r>
          </w:p>
        </w:tc>
        <w:tc>
          <w:tcPr>
            <w:tcW w:w="202" w:type="dxa"/>
            <w:tcBorders/>
            <w:vAlign w:val="center"/>
          </w:tcPr>
          <w:p>
            <w:pPr>
              <w:pStyle w:val="TableContents"/>
              <w:bidi w:val="0"/>
              <w:spacing w:before="0" w:after="283"/>
              <w:jc w:val="left"/>
              <w:rPr/>
            </w:pPr>
            <w:r>
              <w:rPr/>
              <w:t> </w:t>
            </w:r>
          </w:p>
        </w:tc>
      </w:tr>
      <w:tr>
        <w:trPr/>
        <w:tc>
          <w:tcPr>
            <w:tcW w:w="8667" w:type="dxa"/>
            <w:gridSpan w:val="2"/>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8869" w:type="dxa"/>
            <w:gridSpan w:val="3"/>
            <w:tcBorders/>
            <w:vAlign w:val="center"/>
          </w:tcPr>
          <w:p>
            <w:pPr>
              <w:pStyle w:val="TableContents"/>
              <w:bidi w:val="0"/>
              <w:spacing w:before="0" w:after="283"/>
              <w:jc w:val="left"/>
              <w:rPr/>
            </w:pPr>
            <w:r>
              <w:rPr/>
              <w:t>The foregoing Agreement is hereby confirmed and accepted as of the date first written above.</w:t>
            </w:r>
          </w:p>
        </w:tc>
      </w:tr>
      <w:tr>
        <w:trPr/>
        <w:tc>
          <w:tcPr>
            <w:tcW w:w="8667" w:type="dxa"/>
            <w:gridSpan w:val="2"/>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8667" w:type="dxa"/>
            <w:gridSpan w:val="2"/>
            <w:tcBorders/>
            <w:vAlign w:val="center"/>
          </w:tcPr>
          <w:p>
            <w:pPr>
              <w:pStyle w:val="TableContents"/>
              <w:bidi w:val="0"/>
              <w:spacing w:before="0" w:after="283"/>
              <w:jc w:val="left"/>
              <w:rPr>
                <w:b/>
              </w:rPr>
            </w:pPr>
            <w:r>
              <w:rPr>
                <w:b/>
              </w:rPr>
              <w:t>H.C. WAINWRIGHT &amp; CO., LLC</w:t>
            </w:r>
          </w:p>
        </w:tc>
        <w:tc>
          <w:tcPr>
            <w:tcW w:w="202" w:type="dxa"/>
            <w:tcBorders/>
            <w:vAlign w:val="center"/>
          </w:tcPr>
          <w:p>
            <w:pPr>
              <w:pStyle w:val="TableContents"/>
              <w:bidi w:val="0"/>
              <w:spacing w:before="0" w:after="283"/>
              <w:jc w:val="left"/>
              <w:rPr/>
            </w:pPr>
            <w:r>
              <w:rPr/>
              <w:t> </w:t>
            </w:r>
          </w:p>
        </w:tc>
      </w:tr>
      <w:tr>
        <w:trPr/>
        <w:tc>
          <w:tcPr>
            <w:tcW w:w="8667" w:type="dxa"/>
            <w:gridSpan w:val="2"/>
            <w:tcBorders/>
            <w:vAlign w:val="center"/>
          </w:tcPr>
          <w:p>
            <w:pPr>
              <w:pStyle w:val="TableContents"/>
              <w:bidi w:val="0"/>
              <w:spacing w:before="0" w:after="283"/>
              <w:jc w:val="both"/>
              <w:rPr/>
            </w:pPr>
            <w:r>
              <w:rPr/>
              <w:t> </w:t>
            </w:r>
          </w:p>
        </w:tc>
        <w:tc>
          <w:tcPr>
            <w:tcW w:w="202" w:type="dxa"/>
            <w:tcBorders/>
            <w:vAlign w:val="center"/>
          </w:tcPr>
          <w:p>
            <w:pPr>
              <w:pStyle w:val="TableContents"/>
              <w:bidi w:val="0"/>
              <w:spacing w:before="0" w:after="283"/>
              <w:jc w:val="both"/>
              <w:rPr/>
            </w:pPr>
            <w:r>
              <w:rPr/>
              <w:t> </w:t>
            </w:r>
          </w:p>
        </w:tc>
      </w:tr>
      <w:tr>
        <w:trPr/>
        <w:tc>
          <w:tcPr>
            <w:tcW w:w="2486" w:type="dxa"/>
            <w:tcBorders/>
            <w:vAlign w:val="center"/>
          </w:tcPr>
          <w:p>
            <w:pPr>
              <w:pStyle w:val="TableContents"/>
              <w:bidi w:val="0"/>
              <w:spacing w:before="0" w:after="283"/>
              <w:jc w:val="left"/>
              <w:rPr/>
            </w:pPr>
            <w:r>
              <w:rPr/>
              <w:t>By:</w:t>
            </w:r>
          </w:p>
        </w:tc>
        <w:tc>
          <w:tcPr>
            <w:tcW w:w="6181" w:type="dxa"/>
            <w:tcBorders>
              <w:bottom w:val="single" w:sz="12" w:space="0" w:color="000000"/>
            </w:tcBorders>
            <w:tcMar>
              <w:bottom w:w="28" w:type="dxa"/>
            </w:tcMar>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2486" w:type="dxa"/>
            <w:tcBorders/>
            <w:vAlign w:val="center"/>
          </w:tcPr>
          <w:p>
            <w:pPr>
              <w:pStyle w:val="TableContents"/>
              <w:bidi w:val="0"/>
              <w:spacing w:before="0" w:after="283"/>
              <w:jc w:val="left"/>
              <w:rPr/>
            </w:pPr>
            <w:r>
              <w:rPr/>
              <w:t>Name:</w:t>
            </w:r>
          </w:p>
        </w:tc>
        <w:tc>
          <w:tcPr>
            <w:tcW w:w="6181"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2486" w:type="dxa"/>
            <w:tcBorders/>
            <w:vAlign w:val="center"/>
          </w:tcPr>
          <w:p>
            <w:pPr>
              <w:pStyle w:val="TableContents"/>
              <w:bidi w:val="0"/>
              <w:spacing w:before="0" w:after="283"/>
              <w:jc w:val="left"/>
              <w:rPr/>
            </w:pPr>
            <w:r>
              <w:rPr/>
              <w:t>Title:</w:t>
            </w:r>
          </w:p>
        </w:tc>
        <w:tc>
          <w:tcPr>
            <w:tcW w:w="6181"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8667" w:type="dxa"/>
            <w:gridSpan w:val="2"/>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8667" w:type="dxa"/>
            <w:gridSpan w:val="2"/>
            <w:tcBorders/>
            <w:vAlign w:val="center"/>
          </w:tcPr>
          <w:p>
            <w:pPr>
              <w:pStyle w:val="TableContents"/>
              <w:bidi w:val="0"/>
              <w:spacing w:before="0" w:after="283"/>
              <w:jc w:val="left"/>
              <w:rPr/>
            </w:pPr>
            <w:r>
              <w:rPr>
                <w:u w:val="single"/>
              </w:rPr>
              <w:t>Address for Notice</w:t>
            </w:r>
            <w:r>
              <w:rPr/>
              <w:t>:</w:t>
            </w:r>
          </w:p>
        </w:tc>
        <w:tc>
          <w:tcPr>
            <w:tcW w:w="202" w:type="dxa"/>
            <w:tcBorders/>
            <w:vAlign w:val="center"/>
          </w:tcPr>
          <w:p>
            <w:pPr>
              <w:pStyle w:val="TableContents"/>
              <w:bidi w:val="0"/>
              <w:spacing w:before="0" w:after="283"/>
              <w:jc w:val="left"/>
              <w:rPr/>
            </w:pPr>
            <w:r>
              <w:rPr/>
              <w:t> </w:t>
            </w:r>
          </w:p>
        </w:tc>
      </w:tr>
      <w:tr>
        <w:trPr/>
        <w:tc>
          <w:tcPr>
            <w:tcW w:w="8667" w:type="dxa"/>
            <w:gridSpan w:val="2"/>
            <w:tcBorders/>
            <w:vAlign w:val="center"/>
          </w:tcPr>
          <w:p>
            <w:pPr>
              <w:pStyle w:val="TableContents"/>
              <w:bidi w:val="0"/>
              <w:spacing w:before="0" w:after="283"/>
              <w:jc w:val="left"/>
              <w:rPr/>
            </w:pPr>
            <w:r>
              <w:rPr/>
              <w:t>430 Park Avenue</w:t>
            </w:r>
          </w:p>
        </w:tc>
        <w:tc>
          <w:tcPr>
            <w:tcW w:w="202" w:type="dxa"/>
            <w:tcBorders/>
            <w:vAlign w:val="center"/>
          </w:tcPr>
          <w:p>
            <w:pPr>
              <w:pStyle w:val="TableContents"/>
              <w:bidi w:val="0"/>
              <w:spacing w:before="0" w:after="283"/>
              <w:jc w:val="left"/>
              <w:rPr/>
            </w:pPr>
            <w:r>
              <w:rPr/>
              <w:t> </w:t>
            </w:r>
          </w:p>
        </w:tc>
      </w:tr>
      <w:tr>
        <w:trPr/>
        <w:tc>
          <w:tcPr>
            <w:tcW w:w="8667" w:type="dxa"/>
            <w:gridSpan w:val="2"/>
            <w:tcBorders/>
            <w:vAlign w:val="center"/>
          </w:tcPr>
          <w:p>
            <w:pPr>
              <w:pStyle w:val="TableContents"/>
              <w:bidi w:val="0"/>
              <w:spacing w:before="0" w:after="283"/>
              <w:jc w:val="left"/>
              <w:rPr/>
            </w:pPr>
            <w:r>
              <w:rPr/>
              <w:t>New York, New York 10022</w:t>
            </w:r>
          </w:p>
        </w:tc>
        <w:tc>
          <w:tcPr>
            <w:tcW w:w="202" w:type="dxa"/>
            <w:tcBorders/>
            <w:vAlign w:val="center"/>
          </w:tcPr>
          <w:p>
            <w:pPr>
              <w:pStyle w:val="TableContents"/>
              <w:bidi w:val="0"/>
              <w:spacing w:before="0" w:after="283"/>
              <w:jc w:val="left"/>
              <w:rPr/>
            </w:pPr>
            <w:r>
              <w:rPr/>
              <w:t> </w:t>
            </w:r>
          </w:p>
        </w:tc>
      </w:tr>
      <w:tr>
        <w:trPr/>
        <w:tc>
          <w:tcPr>
            <w:tcW w:w="8667" w:type="dxa"/>
            <w:gridSpan w:val="2"/>
            <w:tcBorders/>
            <w:vAlign w:val="center"/>
          </w:tcPr>
          <w:p>
            <w:pPr>
              <w:pStyle w:val="TableContents"/>
              <w:bidi w:val="0"/>
              <w:spacing w:before="0" w:after="283"/>
              <w:jc w:val="left"/>
              <w:rPr/>
            </w:pPr>
            <w:r>
              <w:rPr/>
              <w:t>Attention: Chief Executive Officer</w:t>
            </w:r>
          </w:p>
        </w:tc>
        <w:tc>
          <w:tcPr>
            <w:tcW w:w="202" w:type="dxa"/>
            <w:tcBorders/>
            <w:vAlign w:val="center"/>
          </w:tcPr>
          <w:p>
            <w:pPr>
              <w:pStyle w:val="TableContents"/>
              <w:bidi w:val="0"/>
              <w:spacing w:before="0" w:after="283"/>
              <w:jc w:val="left"/>
              <w:rPr/>
            </w:pPr>
            <w:r>
              <w:rPr/>
              <w:t> </w:t>
            </w:r>
          </w:p>
        </w:tc>
      </w:tr>
      <w:tr>
        <w:trPr/>
        <w:tc>
          <w:tcPr>
            <w:tcW w:w="8667" w:type="dxa"/>
            <w:gridSpan w:val="2"/>
            <w:tcBorders/>
            <w:vAlign w:val="center"/>
          </w:tcPr>
          <w:p>
            <w:pPr>
              <w:pStyle w:val="TableContents"/>
              <w:bidi w:val="0"/>
              <w:spacing w:before="0" w:after="283"/>
              <w:jc w:val="left"/>
              <w:rPr/>
            </w:pPr>
            <w:r>
              <w:rPr/>
              <w:t>E-mail:</w:t>
            </w:r>
          </w:p>
        </w:tc>
        <w:tc>
          <w:tcPr>
            <w:tcW w:w="202" w:type="dxa"/>
            <w:tcBorders/>
            <w:vAlign w:val="center"/>
          </w:tcPr>
          <w:p>
            <w:pPr>
              <w:pStyle w:val="TableContents"/>
              <w:bidi w:val="0"/>
              <w:spacing w:before="0" w:after="283"/>
              <w:jc w:val="left"/>
              <w:rPr/>
            </w:pPr>
            <w:r>
              <w:rPr/>
              <w:t> </w:t>
            </w:r>
          </w:p>
        </w:tc>
      </w:tr>
      <w:tr>
        <w:trPr/>
        <w:tc>
          <w:tcPr>
            <w:tcW w:w="8667" w:type="dxa"/>
            <w:gridSpan w:val="2"/>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8667" w:type="dxa"/>
            <w:gridSpan w:val="2"/>
            <w:tcBorders/>
            <w:vAlign w:val="center"/>
          </w:tcPr>
          <w:p>
            <w:pPr>
              <w:pStyle w:val="TableContents"/>
              <w:bidi w:val="0"/>
              <w:spacing w:before="0" w:after="283"/>
              <w:jc w:val="left"/>
              <w:rPr>
                <w:rFonts w:ascii="Times New Roman;Times;Serif" w:hAnsi="Times New Roman;Times;Serif"/>
                <w:b/>
                <w:caps/>
              </w:rPr>
            </w:pPr>
            <w:r>
              <w:rPr>
                <w:rFonts w:ascii="Times New Roman;Times;Serif" w:hAnsi="Times New Roman;Times;Serif"/>
                <w:b/>
                <w:caps/>
              </w:rPr>
              <w:t>Brookline Capital Markets,</w:t>
            </w:r>
          </w:p>
        </w:tc>
        <w:tc>
          <w:tcPr>
            <w:tcW w:w="202" w:type="dxa"/>
            <w:tcBorders/>
            <w:vAlign w:val="center"/>
          </w:tcPr>
          <w:p>
            <w:pPr>
              <w:pStyle w:val="TableContents"/>
              <w:bidi w:val="0"/>
              <w:spacing w:before="0" w:after="283"/>
              <w:jc w:val="left"/>
              <w:rPr/>
            </w:pPr>
            <w:r>
              <w:rPr/>
              <w:t> </w:t>
            </w:r>
          </w:p>
        </w:tc>
      </w:tr>
      <w:tr>
        <w:trPr/>
        <w:tc>
          <w:tcPr>
            <w:tcW w:w="8667" w:type="dxa"/>
            <w:gridSpan w:val="2"/>
            <w:tcBorders/>
            <w:vAlign w:val="center"/>
          </w:tcPr>
          <w:p>
            <w:pPr>
              <w:pStyle w:val="TableContents"/>
              <w:bidi w:val="0"/>
              <w:spacing w:before="0" w:after="283"/>
              <w:jc w:val="left"/>
              <w:rPr>
                <w:rFonts w:ascii="Times New Roman;Times;Serif" w:hAnsi="Times New Roman;Times;Serif"/>
                <w:b/>
                <w:caps/>
              </w:rPr>
            </w:pPr>
            <w:r>
              <w:rPr>
                <w:rFonts w:ascii="Times New Roman;Times;Serif" w:hAnsi="Times New Roman;Times;Serif"/>
                <w:b/>
                <w:caps/>
              </w:rPr>
              <w:t>a division of Arcadia Securities, LLC</w:t>
            </w:r>
          </w:p>
        </w:tc>
        <w:tc>
          <w:tcPr>
            <w:tcW w:w="202" w:type="dxa"/>
            <w:tcBorders/>
            <w:vAlign w:val="center"/>
          </w:tcPr>
          <w:p>
            <w:pPr>
              <w:pStyle w:val="TableContents"/>
              <w:bidi w:val="0"/>
              <w:spacing w:before="0" w:after="283"/>
              <w:jc w:val="left"/>
              <w:rPr/>
            </w:pPr>
            <w:r>
              <w:rPr/>
              <w:t> </w:t>
            </w:r>
          </w:p>
        </w:tc>
      </w:tr>
      <w:tr>
        <w:trPr/>
        <w:tc>
          <w:tcPr>
            <w:tcW w:w="8667" w:type="dxa"/>
            <w:gridSpan w:val="2"/>
            <w:tcBorders/>
            <w:vAlign w:val="center"/>
          </w:tcPr>
          <w:p>
            <w:pPr>
              <w:pStyle w:val="TableContents"/>
              <w:bidi w:val="0"/>
              <w:spacing w:before="0" w:after="283"/>
              <w:jc w:val="both"/>
              <w:rPr/>
            </w:pPr>
            <w:r>
              <w:rPr/>
              <w:t> </w:t>
            </w:r>
          </w:p>
        </w:tc>
        <w:tc>
          <w:tcPr>
            <w:tcW w:w="202" w:type="dxa"/>
            <w:tcBorders/>
            <w:vAlign w:val="center"/>
          </w:tcPr>
          <w:p>
            <w:pPr>
              <w:pStyle w:val="TableContents"/>
              <w:bidi w:val="0"/>
              <w:spacing w:before="0" w:after="283"/>
              <w:jc w:val="both"/>
              <w:rPr/>
            </w:pPr>
            <w:r>
              <w:rPr/>
              <w:t> </w:t>
            </w:r>
          </w:p>
        </w:tc>
      </w:tr>
      <w:tr>
        <w:trPr/>
        <w:tc>
          <w:tcPr>
            <w:tcW w:w="2486" w:type="dxa"/>
            <w:tcBorders/>
            <w:vAlign w:val="center"/>
          </w:tcPr>
          <w:p>
            <w:pPr>
              <w:pStyle w:val="TableContents"/>
              <w:bidi w:val="0"/>
              <w:spacing w:before="0" w:after="283"/>
              <w:jc w:val="left"/>
              <w:rPr/>
            </w:pPr>
            <w:r>
              <w:rPr/>
              <w:t>By:</w:t>
            </w:r>
          </w:p>
        </w:tc>
        <w:tc>
          <w:tcPr>
            <w:tcW w:w="6181" w:type="dxa"/>
            <w:tcBorders>
              <w:bottom w:val="single" w:sz="12" w:space="0" w:color="000000"/>
            </w:tcBorders>
            <w:tcMar>
              <w:bottom w:w="28" w:type="dxa"/>
            </w:tcMar>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2486" w:type="dxa"/>
            <w:tcBorders/>
            <w:vAlign w:val="center"/>
          </w:tcPr>
          <w:p>
            <w:pPr>
              <w:pStyle w:val="TableContents"/>
              <w:bidi w:val="0"/>
              <w:spacing w:before="0" w:after="283"/>
              <w:jc w:val="left"/>
              <w:rPr/>
            </w:pPr>
            <w:r>
              <w:rPr/>
              <w:t>Name:</w:t>
            </w:r>
          </w:p>
        </w:tc>
        <w:tc>
          <w:tcPr>
            <w:tcW w:w="6181"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2486" w:type="dxa"/>
            <w:tcBorders/>
            <w:vAlign w:val="center"/>
          </w:tcPr>
          <w:p>
            <w:pPr>
              <w:pStyle w:val="TableContents"/>
              <w:bidi w:val="0"/>
              <w:spacing w:before="0" w:after="283"/>
              <w:jc w:val="left"/>
              <w:rPr/>
            </w:pPr>
            <w:r>
              <w:rPr/>
              <w:t>Title:</w:t>
            </w:r>
          </w:p>
        </w:tc>
        <w:tc>
          <w:tcPr>
            <w:tcW w:w="6181"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8667" w:type="dxa"/>
            <w:gridSpan w:val="2"/>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8667" w:type="dxa"/>
            <w:gridSpan w:val="2"/>
            <w:tcBorders/>
            <w:vAlign w:val="center"/>
          </w:tcPr>
          <w:p>
            <w:pPr>
              <w:pStyle w:val="TableContents"/>
              <w:bidi w:val="0"/>
              <w:spacing w:before="0" w:after="283"/>
              <w:jc w:val="left"/>
              <w:rPr/>
            </w:pPr>
            <w:r>
              <w:rPr>
                <w:u w:val="single"/>
              </w:rPr>
              <w:t>Address for Notice</w:t>
            </w:r>
            <w:r>
              <w:rPr/>
              <w:t>:</w:t>
            </w:r>
          </w:p>
        </w:tc>
        <w:tc>
          <w:tcPr>
            <w:tcW w:w="202" w:type="dxa"/>
            <w:tcBorders/>
            <w:vAlign w:val="center"/>
          </w:tcPr>
          <w:p>
            <w:pPr>
              <w:pStyle w:val="TableContents"/>
              <w:bidi w:val="0"/>
              <w:spacing w:before="0" w:after="283"/>
              <w:jc w:val="left"/>
              <w:rPr/>
            </w:pPr>
            <w:r>
              <w:rPr/>
              <w:t> </w:t>
            </w:r>
          </w:p>
        </w:tc>
      </w:tr>
      <w:tr>
        <w:trPr/>
        <w:tc>
          <w:tcPr>
            <w:tcW w:w="8667" w:type="dxa"/>
            <w:gridSpan w:val="2"/>
            <w:tcBorders/>
            <w:vAlign w:val="center"/>
          </w:tcPr>
          <w:p>
            <w:pPr>
              <w:pStyle w:val="TableContents"/>
              <w:bidi w:val="0"/>
              <w:spacing w:before="0" w:after="283"/>
              <w:jc w:val="left"/>
              <w:rPr/>
            </w:pPr>
            <w:r>
              <w:rPr/>
              <w:t>600 Lexington Avenue, 30</w:t>
            </w:r>
            <w:r>
              <w:rPr>
                <w:position w:val="8"/>
                <w:sz w:val="19"/>
              </w:rPr>
              <w:t>th</w:t>
            </w:r>
            <w:r>
              <w:rPr/>
              <w:t xml:space="preserve"> Floor</w:t>
            </w:r>
          </w:p>
        </w:tc>
        <w:tc>
          <w:tcPr>
            <w:tcW w:w="202" w:type="dxa"/>
            <w:tcBorders/>
            <w:vAlign w:val="center"/>
          </w:tcPr>
          <w:p>
            <w:pPr>
              <w:pStyle w:val="TableContents"/>
              <w:bidi w:val="0"/>
              <w:spacing w:before="0" w:after="283"/>
              <w:jc w:val="left"/>
              <w:rPr/>
            </w:pPr>
            <w:r>
              <w:rPr/>
              <w:t> </w:t>
            </w:r>
          </w:p>
        </w:tc>
      </w:tr>
      <w:tr>
        <w:trPr/>
        <w:tc>
          <w:tcPr>
            <w:tcW w:w="8667" w:type="dxa"/>
            <w:gridSpan w:val="2"/>
            <w:tcBorders/>
            <w:vAlign w:val="center"/>
          </w:tcPr>
          <w:p>
            <w:pPr>
              <w:pStyle w:val="TableContents"/>
              <w:bidi w:val="0"/>
              <w:spacing w:before="0" w:after="283"/>
              <w:jc w:val="left"/>
              <w:rPr/>
            </w:pPr>
            <w:r>
              <w:rPr/>
              <w:t>New York, New York 10022</w:t>
            </w:r>
          </w:p>
        </w:tc>
        <w:tc>
          <w:tcPr>
            <w:tcW w:w="202" w:type="dxa"/>
            <w:tcBorders/>
            <w:vAlign w:val="center"/>
          </w:tcPr>
          <w:p>
            <w:pPr>
              <w:pStyle w:val="TableContents"/>
              <w:bidi w:val="0"/>
              <w:spacing w:before="0" w:after="283"/>
              <w:jc w:val="left"/>
              <w:rPr/>
            </w:pPr>
            <w:r>
              <w:rPr/>
              <w:t> </w:t>
            </w:r>
          </w:p>
        </w:tc>
      </w:tr>
      <w:tr>
        <w:trPr/>
        <w:tc>
          <w:tcPr>
            <w:tcW w:w="8667" w:type="dxa"/>
            <w:gridSpan w:val="2"/>
            <w:tcBorders/>
            <w:vAlign w:val="center"/>
          </w:tcPr>
          <w:p>
            <w:pPr>
              <w:pStyle w:val="TableContents"/>
              <w:bidi w:val="0"/>
              <w:spacing w:before="0" w:after="283"/>
              <w:jc w:val="left"/>
              <w:rPr/>
            </w:pPr>
            <w:r>
              <w:rPr/>
              <w:t>Attention:</w:t>
            </w:r>
          </w:p>
        </w:tc>
        <w:tc>
          <w:tcPr>
            <w:tcW w:w="202" w:type="dxa"/>
            <w:tcBorders/>
            <w:vAlign w:val="center"/>
          </w:tcPr>
          <w:p>
            <w:pPr>
              <w:pStyle w:val="TableContents"/>
              <w:bidi w:val="0"/>
              <w:spacing w:before="0" w:after="283"/>
              <w:jc w:val="left"/>
              <w:rPr/>
            </w:pPr>
            <w:r>
              <w:rPr/>
              <w:t> </w:t>
            </w:r>
          </w:p>
        </w:tc>
      </w:tr>
      <w:tr>
        <w:trPr/>
        <w:tc>
          <w:tcPr>
            <w:tcW w:w="8667" w:type="dxa"/>
            <w:gridSpan w:val="2"/>
            <w:tcBorders/>
            <w:vAlign w:val="center"/>
          </w:tcPr>
          <w:p>
            <w:pPr>
              <w:pStyle w:val="TableContents"/>
              <w:bidi w:val="0"/>
              <w:spacing w:before="0" w:after="283"/>
              <w:jc w:val="left"/>
              <w:rPr/>
            </w:pPr>
            <w:r>
              <w:rPr/>
              <w:t>E-mail:</w:t>
            </w:r>
          </w:p>
        </w:tc>
        <w:tc>
          <w:tcPr>
            <w:tcW w:w="202" w:type="dxa"/>
            <w:tcBorders/>
            <w:vAlign w:val="center"/>
          </w:tcPr>
          <w:p>
            <w:pPr>
              <w:pStyle w:val="TableContents"/>
              <w:bidi w:val="0"/>
              <w:spacing w:before="0" w:after="283"/>
              <w:jc w:val="left"/>
              <w:rPr/>
            </w:pPr>
            <w:r>
              <w:rPr/>
              <w:t> </w:t>
            </w:r>
          </w:p>
        </w:tc>
      </w:tr>
    </w:tbl>
    <w:p>
      <w:pPr>
        <w:pStyle w:val="TextBody"/>
        <w:bidi w:val="0"/>
        <w:spacing w:before="0" w:after="0"/>
        <w:ind w:left="1995" w:right="1995"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Terms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ANNEX I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NIKI BIOSOLUTIONS, INC.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199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1995"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Niki BioSolutions,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proposes, subject to the terms and conditions stated herein and in the At The Market Offering Agreement, dated October 9, 2026 (the “</w:t>
      </w:r>
      <w:r>
        <w:rPr>
          <w:rFonts w:ascii="Times New Roman;Times;Serif" w:hAnsi="Times New Roman;Times;Serif"/>
          <w:b w:val="false"/>
          <w:i w:val="false"/>
          <w:caps w:val="false"/>
          <w:smallCaps w:val="false"/>
          <w:sz w:val="20"/>
          <w:u w:val="single"/>
        </w:rPr>
        <w:t>At The Market Offering Agreement</w:t>
      </w:r>
      <w:r>
        <w:rPr>
          <w:rFonts w:ascii="Times New Roman;Times;Serif" w:hAnsi="Times New Roman;Times;Serif"/>
          <w:b w:val="false"/>
          <w:i w:val="false"/>
          <w:caps w:val="false"/>
          <w:smallCaps w:val="false"/>
          <w:sz w:val="20"/>
        </w:rPr>
        <w:t>”), among the Company and H.C. Wainwright &amp; Co., LLC (“</w:t>
      </w:r>
      <w:r>
        <w:rPr>
          <w:rFonts w:ascii="Times New Roman;Times;Serif" w:hAnsi="Times New Roman;Times;Serif"/>
          <w:b w:val="false"/>
          <w:i w:val="false"/>
          <w:caps w:val="false"/>
          <w:smallCaps w:val="false"/>
          <w:sz w:val="20"/>
          <w:u w:val="single"/>
        </w:rPr>
        <w:t>Wainwright</w:t>
      </w:r>
      <w:r>
        <w:rPr>
          <w:rFonts w:ascii="Times New Roman;Times;Serif" w:hAnsi="Times New Roman;Times;Serif"/>
          <w:b w:val="false"/>
          <w:i w:val="false"/>
          <w:caps w:val="false"/>
          <w:smallCaps w:val="false"/>
          <w:sz w:val="20"/>
        </w:rPr>
        <w:t>” or the “</w:t>
      </w:r>
      <w:r>
        <w:rPr>
          <w:rFonts w:ascii="Times New Roman;Times;Serif" w:hAnsi="Times New Roman;Times;Serif"/>
          <w:b w:val="false"/>
          <w:i w:val="false"/>
          <w:caps w:val="false"/>
          <w:smallCaps w:val="false"/>
          <w:sz w:val="20"/>
          <w:u w:val="single"/>
        </w:rPr>
        <w:t>Selling Manager</w:t>
      </w:r>
      <w:r>
        <w:rPr>
          <w:rFonts w:ascii="Times New Roman;Times;Serif" w:hAnsi="Times New Roman;Times;Serif"/>
          <w:b w:val="false"/>
          <w:i w:val="false"/>
          <w:caps w:val="false"/>
          <w:smallCaps w:val="false"/>
          <w:sz w:val="20"/>
        </w:rPr>
        <w:t>”) and Brookline Capital Markets, a division of Arcadia Securities, LLC (“</w:t>
      </w:r>
      <w:r>
        <w:rPr>
          <w:rFonts w:ascii="Times New Roman;Times;Serif" w:hAnsi="Times New Roman;Times;Serif"/>
          <w:b w:val="false"/>
          <w:i w:val="false"/>
          <w:caps w:val="false"/>
          <w:smallCaps w:val="false"/>
          <w:sz w:val="20"/>
          <w:u w:val="single"/>
        </w:rPr>
        <w:t>Brookline</w:t>
      </w:r>
      <w:r>
        <w:rPr>
          <w:rFonts w:ascii="Times New Roman;Times;Serif" w:hAnsi="Times New Roman;Times;Serif"/>
          <w:b w:val="false"/>
          <w:i w:val="false"/>
          <w:caps w:val="false"/>
          <w:smallCaps w:val="false"/>
          <w:sz w:val="20"/>
        </w:rPr>
        <w:t xml:space="preserve">”), to issue and sell to the Selling Manager the securities specified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val="false"/>
          <w:i w:val="false"/>
          <w:caps w:val="false"/>
          <w:smallCaps w:val="false"/>
          <w:sz w:val="20"/>
          <w:u w:val="single"/>
        </w:rPr>
        <w:t>Purchased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provisions of the At The Market Offering Agreement not specifically related to the solicitation by the Selling Manager (as therein defined), as agent of the Company, of offers to purchase securities is incorporated herein by reference in its entirety, and shall be deemed to be part of this Terms Agreement to the same extent as if such provisions had been set forth in full herein. Each of the representations and warranties set forth therein shall be deemed to have been made at and as of the date of this Terms Agreement and the Time of Delivery, except that each representation and warranty in Section 3 of the At The Market Offering Agreement which makes reference to the Prospectus (as therein defined) shall be deemed to be a representation and warranty as of the date of the At The Market Offering Agreement in relation to the Prospectus, and also a representation and warranty as of the date of this Terms Agreement and the Time of Delivery in relation to the Prospectus as amended and supplemented to relate to the Purchased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amendment to the Registration Statement (as defined in the At The Market Offering Agreement), or a supplement to the Prospectus, as the case may be, relating to the Purchased Shares, in the form heretofore delivered to the Selling Manager is now proposed to be filed with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terms and conditions set forth herein and in the At The Market Offering Agreement which are incorporated herein by reference, the Company agrees to issue and sell to the Selling Manager and the latter agrees to purchase from the Company the number of shares of the Purchased Shares at the time and place and at the purchase price set forth in the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foregoing is in accordance with your understanding, please sign and return to us a counterpart hereof, whereupon this Terms Agreement, including those provisions of the At The Market Offering Agreement incorporated herein by reference, shall constitute a binding agreement between the Selling Manager and the Company. </w:t>
      </w:r>
    </w:p>
    <w:p>
      <w:pPr>
        <w:pStyle w:val="TextBody"/>
        <w:bidi w:val="0"/>
        <w:spacing w:before="0" w:after="0"/>
        <w:ind w:left="0" w:right="0" w:firstLine="720"/>
        <w:jc w:val="both"/>
        <w:rPr>
          <w:caps w:val="false"/>
          <w:smallCaps w:val="false"/>
        </w:rPr>
      </w:pPr>
      <w:r>
        <w:rPr>
          <w:caps w:val="false"/>
          <w:smallCaps w:val="false"/>
        </w:rPr>
        <w:t> </w:t>
      </w:r>
    </w:p>
    <w:tbl>
      <w:tblPr>
        <w:tblW w:w="4519" w:type="dxa"/>
        <w:jc w:val="left"/>
        <w:tblInd w:w="0" w:type="dxa"/>
        <w:tblLayout w:type="fixed"/>
        <w:tblCellMar>
          <w:top w:w="0" w:type="dxa"/>
          <w:left w:w="0" w:type="dxa"/>
          <w:bottom w:w="0" w:type="dxa"/>
          <w:right w:w="0" w:type="dxa"/>
        </w:tblCellMar>
      </w:tblPr>
      <w:tblGrid>
        <w:gridCol w:w="980"/>
        <w:gridCol w:w="1807"/>
        <w:gridCol w:w="1657"/>
        <w:gridCol w:w="75"/>
      </w:tblGrid>
      <w:tr>
        <w:trPr/>
        <w:tc>
          <w:tcPr>
            <w:tcW w:w="4444" w:type="dxa"/>
            <w:gridSpan w:val="3"/>
            <w:tcBorders/>
            <w:vAlign w:val="center"/>
          </w:tcPr>
          <w:p>
            <w:pPr>
              <w:pStyle w:val="TableContents"/>
              <w:bidi w:val="0"/>
              <w:spacing w:before="0" w:after="283"/>
              <w:jc w:val="left"/>
              <w:rPr>
                <w:b/>
                <w:caps/>
              </w:rPr>
            </w:pPr>
            <w:r>
              <w:rPr>
                <w:b/>
                <w:caps/>
              </w:rPr>
              <w:t>Niki BioSolutions, Inc.</w:t>
            </w:r>
          </w:p>
        </w:tc>
        <w:tc>
          <w:tcPr>
            <w:tcW w:w="75" w:type="dxa"/>
            <w:tcBorders/>
            <w:vAlign w:val="center"/>
          </w:tcPr>
          <w:p>
            <w:pPr>
              <w:pStyle w:val="TableContents"/>
              <w:bidi w:val="0"/>
              <w:spacing w:before="0" w:after="283"/>
              <w:jc w:val="left"/>
              <w:rPr/>
            </w:pPr>
            <w:r>
              <w:rPr/>
              <w:t> </w:t>
            </w:r>
          </w:p>
        </w:tc>
      </w:tr>
      <w:tr>
        <w:trPr/>
        <w:tc>
          <w:tcPr>
            <w:tcW w:w="4444"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By:</w:t>
            </w:r>
          </w:p>
        </w:tc>
        <w:tc>
          <w:tcPr>
            <w:tcW w:w="3464" w:type="dxa"/>
            <w:gridSpan w:val="2"/>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 </w:t>
            </w:r>
          </w:p>
        </w:tc>
        <w:tc>
          <w:tcPr>
            <w:tcW w:w="1807" w:type="dxa"/>
            <w:tcBorders/>
            <w:vAlign w:val="center"/>
          </w:tcPr>
          <w:p>
            <w:pPr>
              <w:pStyle w:val="TableContents"/>
              <w:bidi w:val="0"/>
              <w:spacing w:before="0" w:after="283"/>
              <w:jc w:val="left"/>
              <w:rPr/>
            </w:pPr>
            <w:r>
              <w:rPr/>
              <w:t>Name:</w:t>
            </w:r>
          </w:p>
        </w:tc>
        <w:tc>
          <w:tcPr>
            <w:tcW w:w="165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 </w:t>
            </w:r>
          </w:p>
        </w:tc>
        <w:tc>
          <w:tcPr>
            <w:tcW w:w="1807" w:type="dxa"/>
            <w:tcBorders/>
            <w:vAlign w:val="center"/>
          </w:tcPr>
          <w:p>
            <w:pPr>
              <w:pStyle w:val="TableContents"/>
              <w:bidi w:val="0"/>
              <w:spacing w:before="0" w:after="283"/>
              <w:jc w:val="left"/>
              <w:rPr/>
            </w:pPr>
            <w:r>
              <w:rPr/>
              <w:t>Title:</w:t>
            </w:r>
          </w:p>
        </w:tc>
        <w:tc>
          <w:tcPr>
            <w:tcW w:w="165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44"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44" w:type="dxa"/>
            <w:gridSpan w:val="3"/>
            <w:tcBorders/>
            <w:vAlign w:val="center"/>
          </w:tcPr>
          <w:p>
            <w:pPr>
              <w:pStyle w:val="TableContents"/>
              <w:bidi w:val="0"/>
              <w:spacing w:before="0" w:after="283"/>
              <w:jc w:val="left"/>
              <w:rPr/>
            </w:pPr>
            <w:r>
              <w:rPr/>
              <w:t>ACCEPTED as of the date first written above.</w:t>
            </w:r>
          </w:p>
        </w:tc>
        <w:tc>
          <w:tcPr>
            <w:tcW w:w="75" w:type="dxa"/>
            <w:tcBorders/>
            <w:vAlign w:val="center"/>
          </w:tcPr>
          <w:p>
            <w:pPr>
              <w:pStyle w:val="TableContents"/>
              <w:bidi w:val="0"/>
              <w:spacing w:before="0" w:after="283"/>
              <w:jc w:val="left"/>
              <w:rPr/>
            </w:pPr>
            <w:r>
              <w:rPr/>
              <w:t> </w:t>
            </w:r>
          </w:p>
        </w:tc>
      </w:tr>
      <w:tr>
        <w:trPr/>
        <w:tc>
          <w:tcPr>
            <w:tcW w:w="4444"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44" w:type="dxa"/>
            <w:gridSpan w:val="3"/>
            <w:tcBorders/>
            <w:vAlign w:val="center"/>
          </w:tcPr>
          <w:p>
            <w:pPr>
              <w:pStyle w:val="TableContents"/>
              <w:bidi w:val="0"/>
              <w:spacing w:before="0" w:after="283"/>
              <w:jc w:val="left"/>
              <w:rPr>
                <w:b/>
                <w:caps/>
              </w:rPr>
            </w:pPr>
            <w:r>
              <w:rPr>
                <w:b/>
                <w:caps/>
              </w:rPr>
              <w:t>H.C. Wainwright &amp; Co., LLC</w:t>
            </w:r>
          </w:p>
        </w:tc>
        <w:tc>
          <w:tcPr>
            <w:tcW w:w="75" w:type="dxa"/>
            <w:tcBorders/>
            <w:vAlign w:val="center"/>
          </w:tcPr>
          <w:p>
            <w:pPr>
              <w:pStyle w:val="TableContents"/>
              <w:bidi w:val="0"/>
              <w:spacing w:before="0" w:after="283"/>
              <w:jc w:val="left"/>
              <w:rPr/>
            </w:pPr>
            <w:r>
              <w:rPr/>
              <w:t> </w:t>
            </w:r>
          </w:p>
        </w:tc>
      </w:tr>
      <w:tr>
        <w:trPr/>
        <w:tc>
          <w:tcPr>
            <w:tcW w:w="4444"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By:</w:t>
            </w:r>
          </w:p>
        </w:tc>
        <w:tc>
          <w:tcPr>
            <w:tcW w:w="3464" w:type="dxa"/>
            <w:gridSpan w:val="2"/>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 </w:t>
            </w:r>
          </w:p>
        </w:tc>
        <w:tc>
          <w:tcPr>
            <w:tcW w:w="1807" w:type="dxa"/>
            <w:tcBorders/>
            <w:vAlign w:val="center"/>
          </w:tcPr>
          <w:p>
            <w:pPr>
              <w:pStyle w:val="TableContents"/>
              <w:bidi w:val="0"/>
              <w:spacing w:before="0" w:after="283"/>
              <w:jc w:val="left"/>
              <w:rPr/>
            </w:pPr>
            <w:r>
              <w:rPr/>
              <w:t>Name:</w:t>
            </w:r>
          </w:p>
        </w:tc>
        <w:tc>
          <w:tcPr>
            <w:tcW w:w="165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 </w:t>
            </w:r>
          </w:p>
        </w:tc>
        <w:tc>
          <w:tcPr>
            <w:tcW w:w="1807" w:type="dxa"/>
            <w:tcBorders/>
            <w:vAlign w:val="center"/>
          </w:tcPr>
          <w:p>
            <w:pPr>
              <w:pStyle w:val="TableContents"/>
              <w:bidi w:val="0"/>
              <w:spacing w:before="0" w:after="283"/>
              <w:jc w:val="left"/>
              <w:rPr/>
            </w:pPr>
            <w:r>
              <w:rPr/>
              <w:t>Title:</w:t>
            </w:r>
          </w:p>
        </w:tc>
        <w:tc>
          <w:tcPr>
            <w:tcW w:w="165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9" w:name="ea030826301ex5-1.htm"/>
      <w:bookmarkStart w:id="30" w:name="ksea030826301ex51"/>
      <w:bookmarkEnd w:id="29"/>
      <w:bookmarkEnd w:id="30"/>
      <w:r>
        <w:rPr>
          <w:rFonts w:ascii="Times New Roman;Times;Serif" w:hAnsi="Times New Roman;Times;Serif"/>
          <w:b/>
          <w:i w:val="false"/>
          <w:caps w:val="false"/>
          <w:smallCaps w:val="false"/>
          <w:sz w:val="20"/>
        </w:rPr>
        <w:t>Exhibit 5.1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667125" cy="1276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67125" cy="127635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Niki BioSolutions,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Village Boulevard, Suite 200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Princeton, New Jersey 08540</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365"/>
        <w:gridCol w:w="3695"/>
      </w:tblGrid>
      <w:tr>
        <w:trPr/>
        <w:tc>
          <w:tcPr>
            <w:tcW w:w="365" w:type="dxa"/>
            <w:tcBorders/>
            <w:vAlign w:val="center"/>
          </w:tcPr>
          <w:p>
            <w:pPr>
              <w:pStyle w:val="TableContents"/>
              <w:bidi w:val="0"/>
              <w:spacing w:before="0" w:after="283"/>
              <w:jc w:val="left"/>
              <w:rPr/>
            </w:pPr>
            <w:r>
              <w:rPr/>
              <w:t>Re:</w:t>
            </w:r>
          </w:p>
        </w:tc>
        <w:tc>
          <w:tcPr>
            <w:tcW w:w="3695" w:type="dxa"/>
            <w:tcBorders/>
            <w:vAlign w:val="center"/>
          </w:tcPr>
          <w:p>
            <w:pPr>
              <w:pStyle w:val="TableContents"/>
              <w:bidi w:val="0"/>
              <w:spacing w:before="0" w:after="283"/>
              <w:jc w:val="both"/>
              <w:rPr>
                <w:b/>
              </w:rPr>
            </w:pPr>
            <w:r>
              <w:rPr>
                <w:b/>
              </w:rPr>
              <w:t>Registration Statement on Form S-3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U.S. securities counsel to Niki BioSolutions,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in connection with the </w:t>
      </w:r>
      <w:r>
        <w:rPr>
          <w:rFonts w:ascii="Times New Roman;Times;Serif" w:hAnsi="Times New Roman;Times;Serif"/>
          <w:b w:val="false"/>
          <w:i w:val="false"/>
          <w:caps w:val="false"/>
          <w:smallCaps w:val="false"/>
          <w:sz w:val="20"/>
          <w:shd w:fill="FFFFFF" w:val="clear"/>
        </w:rPr>
        <w:t>offering by the Company of shares of its common stock, par value $0.0001 per share (“</w:t>
      </w:r>
      <w:r>
        <w:rPr>
          <w:rFonts w:ascii="Times New Roman;Times;Serif" w:hAnsi="Times New Roman;Times;Serif"/>
          <w:b/>
          <w:i w:val="false"/>
          <w:caps w:val="false"/>
          <w:smallCaps w:val="false"/>
          <w:sz w:val="20"/>
          <w:shd w:fill="FFFFFF" w:val="clear"/>
        </w:rPr>
        <w:t>Common Stock</w:t>
      </w:r>
      <w:r>
        <w:rPr>
          <w:rFonts w:ascii="Times New Roman;Times;Serif" w:hAnsi="Times New Roman;Times;Serif"/>
          <w:b w:val="false"/>
          <w:i w:val="false"/>
          <w:caps w:val="false"/>
          <w:smallCaps w:val="false"/>
          <w:sz w:val="20"/>
          <w:shd w:fill="FFFFFF" w:val="clear"/>
        </w:rPr>
        <w:t>”), having an aggregate offering price of up to $1,396,000</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shd w:fill="FFFFFF" w:val="clear"/>
        </w:rPr>
        <w:t>(the “</w:t>
      </w:r>
      <w:r>
        <w:rPr>
          <w:rFonts w:ascii="Times New Roman;Times;Serif" w:hAnsi="Times New Roman;Times;Serif"/>
          <w:b/>
          <w:i w:val="false"/>
          <w:caps w:val="false"/>
          <w:smallCaps w:val="false"/>
          <w:sz w:val="20"/>
          <w:shd w:fill="FFFFFF" w:val="clear"/>
        </w:rPr>
        <w:t>Shares</w:t>
      </w:r>
      <w:r>
        <w:rPr>
          <w:rFonts w:ascii="Times New Roman;Times;Serif" w:hAnsi="Times New Roman;Times;Serif"/>
          <w:b w:val="false"/>
          <w:i w:val="false"/>
          <w:caps w:val="false"/>
          <w:smallCaps w:val="false"/>
          <w:sz w:val="20"/>
          <w:shd w:fill="FFFFFF" w:val="clear"/>
        </w:rPr>
        <w:t>”) pursuant to the Registration Statement on Form S-3 (File No. 333-298608) (the “</w:t>
      </w:r>
      <w:r>
        <w:rPr>
          <w:rFonts w:ascii="Times New Roman;Times;Serif" w:hAnsi="Times New Roman;Times;Serif"/>
          <w:b/>
          <w:i w:val="false"/>
          <w:caps w:val="false"/>
          <w:smallCaps w:val="false"/>
          <w:sz w:val="20"/>
          <w:shd w:fill="FFFFFF" w:val="clear"/>
        </w:rPr>
        <w:t>Registration Statement</w:t>
      </w:r>
      <w:r>
        <w:rPr>
          <w:rFonts w:ascii="Times New Roman;Times;Serif" w:hAnsi="Times New Roman;Times;Serif"/>
          <w:b w:val="false"/>
          <w:i w:val="false"/>
          <w:caps w:val="false"/>
          <w:smallCaps w:val="false"/>
          <w:sz w:val="20"/>
          <w:shd w:fill="FFFFFF" w:val="clear"/>
        </w:rPr>
        <w:t>”) initially filed with the U.S. Securities and Exchange Commission (the “</w:t>
      </w:r>
      <w:r>
        <w:rPr>
          <w:rFonts w:ascii="Times New Roman;Times;Serif" w:hAnsi="Times New Roman;Times;Serif"/>
          <w:b/>
          <w:i w:val="false"/>
          <w:caps w:val="false"/>
          <w:smallCaps w:val="false"/>
          <w:sz w:val="20"/>
          <w:shd w:fill="FFFFFF" w:val="clear"/>
        </w:rPr>
        <w:t>Commission</w:t>
      </w:r>
      <w:r>
        <w:rPr>
          <w:rFonts w:ascii="Times New Roman;Times;Serif" w:hAnsi="Times New Roman;Times;Serif"/>
          <w:b w:val="false"/>
          <w:i w:val="false"/>
          <w:caps w:val="false"/>
          <w:smallCaps w:val="false"/>
          <w:sz w:val="20"/>
          <w:shd w:fill="FFFFFF" w:val="clear"/>
        </w:rPr>
        <w:t>”) on August 28, 2026 under the Securities Act of 1933, as amended (the “</w:t>
      </w:r>
      <w:r>
        <w:rPr>
          <w:rFonts w:ascii="Times New Roman;Times;Serif" w:hAnsi="Times New Roman;Times;Serif"/>
          <w:b/>
          <w:i w:val="false"/>
          <w:caps w:val="false"/>
          <w:smallCaps w:val="false"/>
          <w:sz w:val="20"/>
          <w:shd w:fill="FFFFFF" w:val="clear"/>
        </w:rPr>
        <w:t>Securities Act</w:t>
      </w:r>
      <w:r>
        <w:rPr>
          <w:rFonts w:ascii="Times New Roman;Times;Serif" w:hAnsi="Times New Roman;Times;Serif"/>
          <w:b w:val="false"/>
          <w:i w:val="false"/>
          <w:caps w:val="false"/>
          <w:smallCaps w:val="false"/>
          <w:sz w:val="20"/>
          <w:shd w:fill="FFFFFF" w:val="clear"/>
        </w:rPr>
        <w:t>”), and declared effective by the Commission on October 9, 2026, the prospectus included in the Registration Statement (the “</w:t>
      </w:r>
      <w:r>
        <w:rPr>
          <w:rFonts w:ascii="Times New Roman;Times;Serif" w:hAnsi="Times New Roman;Times;Serif"/>
          <w:b/>
          <w:i w:val="false"/>
          <w:caps w:val="false"/>
          <w:smallCaps w:val="false"/>
          <w:sz w:val="20"/>
          <w:shd w:fill="FFFFFF" w:val="clear"/>
        </w:rPr>
        <w:t>Base Prospectus</w:t>
      </w:r>
      <w:r>
        <w:rPr>
          <w:rFonts w:ascii="Times New Roman;Times;Serif" w:hAnsi="Times New Roman;Times;Serif"/>
          <w:b w:val="false"/>
          <w:i w:val="false"/>
          <w:caps w:val="false"/>
          <w:smallCaps w:val="false"/>
          <w:sz w:val="20"/>
          <w:shd w:fill="FFFFFF" w:val="clear"/>
        </w:rPr>
        <w:t>”), and the prospectus supplement dated October 9, 2026, filed with the Commission pursuant to Rule 424(b) promulgated under the Securities Act (together with the Base Prospectus, the “</w:t>
      </w:r>
      <w:r>
        <w:rPr>
          <w:rFonts w:ascii="Times New Roman;Times;Serif" w:hAnsi="Times New Roman;Times;Serif"/>
          <w:b/>
          <w:i w:val="false"/>
          <w:caps w:val="false"/>
          <w:smallCaps w:val="false"/>
          <w:sz w:val="20"/>
          <w:shd w:fill="FFFFFF" w:val="clear"/>
        </w:rPr>
        <w:t>Prospectus</w:t>
      </w:r>
      <w:r>
        <w:rPr>
          <w:rFonts w:ascii="Times New Roman;Times;Serif" w:hAnsi="Times New Roman;Times;Serif"/>
          <w:b w:val="false"/>
          <w:i w:val="false"/>
          <w:caps w:val="false"/>
          <w:smallCaps w:val="false"/>
          <w:sz w:val="20"/>
          <w:shd w:fill="FFFFFF" w:val="clear"/>
        </w:rPr>
        <w:t xml:space="preserve">”). The Shares are to be sold by the Company under that certain At the Market Offering Agreement, dated October 9, 2026, by and among the Company, </w:t>
      </w:r>
      <w:r>
        <w:rPr>
          <w:rFonts w:ascii="Times New Roman;Times;Serif" w:hAnsi="Times New Roman;Times;Serif"/>
          <w:b w:val="false"/>
          <w:i w:val="false"/>
          <w:caps w:val="false"/>
          <w:smallCaps w:val="false"/>
          <w:sz w:val="20"/>
        </w:rPr>
        <w:t xml:space="preserve">H.C. Wainwright &amp; Co., LLC and Brookline Capital Markets, LLC </w:t>
      </w:r>
      <w:r>
        <w:rPr>
          <w:rFonts w:ascii="Times New Roman;Times;Serif" w:hAnsi="Times New Roman;Times;Serif"/>
          <w:b w:val="false"/>
          <w:i w:val="false"/>
          <w:caps w:val="false"/>
          <w:smallCaps w:val="false"/>
          <w:sz w:val="20"/>
          <w:shd w:fill="FFFFFF" w:val="clear"/>
        </w:rPr>
        <w:t>(the “</w:t>
      </w:r>
      <w:r>
        <w:rPr>
          <w:rFonts w:ascii="Times New Roman;Times;Serif" w:hAnsi="Times New Roman;Times;Serif"/>
          <w:b/>
          <w:i w:val="false"/>
          <w:caps w:val="false"/>
          <w:smallCaps w:val="false"/>
          <w:sz w:val="20"/>
          <w:shd w:fill="FFFFFF" w:val="clear"/>
        </w:rPr>
        <w:t>Sales Agreement</w:t>
      </w:r>
      <w:r>
        <w:rPr>
          <w:rFonts w:ascii="Times New Roman;Times;Serif" w:hAnsi="Times New Roman;Times;Serif"/>
          <w:b w:val="false"/>
          <w:i w:val="false"/>
          <w:caps w:val="false"/>
          <w:smallCaps w:val="false"/>
          <w:sz w:val="20"/>
          <w:shd w:fill="FFFFFF" w:val="clear"/>
        </w:rPr>
        <w:t>”), as described in the Prospectus.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arriving at the opinion expressed below, we have examined and relied on the following documents: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7"/>
        <w:gridCol w:w="9893"/>
      </w:tblGrid>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23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3"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Certificate of Incorporation of the Company, and all amendments to date and the Bylaws of the Company;</w:t>
            </w:r>
          </w:p>
        </w:tc>
      </w:tr>
      <w:tr>
        <w:trPr/>
        <w:tc>
          <w:tcPr>
            <w:tcW w:w="75"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9893"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3"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resolutions adopted by the board of directors of the Company in connection with the Registration Statement and the Sales Agreement;</w:t>
            </w:r>
          </w:p>
        </w:tc>
      </w:tr>
      <w:tr>
        <w:trPr/>
        <w:tc>
          <w:tcPr>
            <w:tcW w:w="75"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9893"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93"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Registration Statement, including the prospectus contained therein and exhibits thereto; </w:t>
            </w:r>
          </w:p>
        </w:tc>
      </w:tr>
      <w:tr>
        <w:trPr/>
        <w:tc>
          <w:tcPr>
            <w:tcW w:w="75"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9893"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93"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Prospectus; and</w:t>
            </w:r>
          </w:p>
        </w:tc>
      </w:tr>
      <w:tr>
        <w:trPr/>
        <w:tc>
          <w:tcPr>
            <w:tcW w:w="75"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9893"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93"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Sales Agreement.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examined and relied on the originals or copies certified or otherwise identified to our satisfaction of all such corporate records of the Company and such other instruments and other certificates of public officials, officers, and representatives of the Company and such other persons, and we have made such investigations of law, as we have deemed appropriate as a basis for the opinion expressed below. In such examination, we have assumed, without independent verification, the genuineness of all signatures (whether original or photostatic), the accuracy and completeness of each document submitted to us, the authenticity of all documents submitted to us as originals, the conformity to original documents of all documents submitted to us as facsimile, electronic, certified, conformed, or photostatic copies thereof. We have further assumed the legal capacity of natural persons, that persons identified to us as officers of the Company are actually serving in such capacity, that the representations of officers and employees of the Company are correct as to questions of fact and that each party to the documents we have examined or relied on (other than the Company) has the power, corporate or other, to enter into and perform all obligations thereunder and also have assumed the due authorization by all requisite action, corporate or other, of the execution and delivery by such parties of such documents, and the validity and binding effect thereon on such parties. We have not independently verified any of these assumptions.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www.htflawyers.com | info@htflawyers.com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 Third Avenue, 19th Floor - New York, NY 10022 | Office: (212) 530-2210 | Fax: (212) 202-6380</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667125" cy="1276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67125" cy="12763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in this opinion letter are limited to the federal laws of the United States of America and General Corporation Law of the State of Delaware, as currently in effect. We are not opining on, and we assume no responsibility for, the applicability or effect on any of the matters covered herein of: (a) any other laws; (b) the laws of any other jurisdiction; or (c) the laws of any country, municipality, or other political subdivision or local government agency or authority. The opinion set forth below is rendered as of the date of this opinion letter. We assume no obligation to update or supplement such opinion to reflect any change of law or fact that may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we are of the opinion that, when the Shares have been issued and paid for in accordance with the terms and conditions of the Sales Agreement and as provided in the Registration Statement and the Prospectus, the Shares will be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hereby consent to the </w:t>
      </w:r>
      <w:r>
        <w:rPr>
          <w:rFonts w:ascii="Times New Roman;Times;Serif" w:hAnsi="Times New Roman;Times;Serif"/>
          <w:b w:val="false"/>
          <w:i w:val="false"/>
          <w:caps w:val="false"/>
          <w:smallCaps w:val="false"/>
          <w:sz w:val="20"/>
          <w:shd w:fill="FFFFFF" w:val="clear"/>
        </w:rPr>
        <w:t>reference to our firm under the caption “Legal Matters” in the Prospectus and to the filing of this opinion as an exhibit to the Current Report on Form 8-K to be filed with the Commission for incorporation by reference into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such consent, we do not thereby admit that we are experts with respect to any part of the Registration Statement within the meaning of the term “expert” as used in Section 11 of the Securities Act or the rules and regulations promulgated thereunder by the Commission, nor do we admit that we are within the category of persons whose consent is required under Section 7 of the Securities Act or the rules and regulations of the Commission promulgated thereunder.</w:t>
      </w:r>
    </w:p>
    <w:p>
      <w:pPr>
        <w:pStyle w:val="TextBody"/>
        <w:bidi w:val="0"/>
        <w:spacing w:before="0" w:after="0"/>
        <w:ind w:left="0" w:right="0" w:hanging="0"/>
        <w:jc w:val="both"/>
        <w:rPr>
          <w:caps w:val="false"/>
          <w:smallCaps w:val="false"/>
        </w:rPr>
      </w:pPr>
      <w:r>
        <w:rPr>
          <w:caps w:val="false"/>
          <w:smallCaps w:val="false"/>
        </w:rPr>
        <w:t> </w:t>
      </w:r>
    </w:p>
    <w:tbl>
      <w:tblPr>
        <w:tblW w:w="3185" w:type="dxa"/>
        <w:jc w:val="left"/>
        <w:tblInd w:w="0" w:type="dxa"/>
        <w:tblLayout w:type="fixed"/>
        <w:tblCellMar>
          <w:top w:w="0" w:type="dxa"/>
          <w:left w:w="0" w:type="dxa"/>
          <w:bottom w:w="0" w:type="dxa"/>
          <w:right w:w="0" w:type="dxa"/>
        </w:tblCellMar>
      </w:tblPr>
      <w:tblGrid>
        <w:gridCol w:w="75"/>
        <w:gridCol w:w="3110"/>
      </w:tblGrid>
      <w:tr>
        <w:trPr/>
        <w:tc>
          <w:tcPr>
            <w:tcW w:w="75"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Very truly yours, </w:t>
            </w:r>
          </w:p>
        </w:tc>
      </w:tr>
      <w:tr>
        <w:trPr/>
        <w:tc>
          <w:tcPr>
            <w:tcW w:w="75"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Hunter Taubman Fischer &amp; Li LLC</w:t>
            </w:r>
          </w:p>
        </w:tc>
      </w:tr>
      <w:tr>
        <w:trPr/>
        <w:tc>
          <w:tcPr>
            <w:tcW w:w="75" w:type="dxa"/>
            <w:tcBorders/>
            <w:vAlign w:val="center"/>
          </w:tcPr>
          <w:p>
            <w:pPr>
              <w:pStyle w:val="TableContents"/>
              <w:bidi w:val="0"/>
              <w:spacing w:before="0" w:after="283"/>
              <w:jc w:val="right"/>
              <w:rPr/>
            </w:pPr>
            <w:r>
              <w:rPr/>
              <w:t> </w:t>
            </w:r>
          </w:p>
        </w:tc>
        <w:tc>
          <w:tcPr>
            <w:tcW w:w="3110" w:type="dxa"/>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Hunter Taubman Fischer &amp; Li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www.htflawyers.com | info@htflawyers.com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 Third Avenue, 19th Floor - New York, NY 10022 | Office: (212) 530-2210 | Fax: (212) 202-6380</w:t>
      </w:r>
    </w:p>
    <w:p>
      <w:pPr>
        <w:pStyle w:val="TextBody"/>
        <w:bidi w:val="0"/>
        <w:spacing w:before="0" w:after="0"/>
        <w:ind w:left="0" w:right="0" w:hanging="0"/>
        <w:jc w:val="center"/>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525"/>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23966</Words>
  <Characters>124855</Characters>
  <CharactersWithSpaces>149008</CharactersWithSpaces>
  <Paragraphs>898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