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307-8k_niki.htm"/>
      <w:bookmarkStart w:id="1" w:name="ksea03083078k_niki"/>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1013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13,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Niki BioSolutions,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1013"/>
            <w:bookmarkEnd w:id="6"/>
            <w:r>
              <w:rPr>
                <w:rFonts w:ascii="Times New Roman;Times;Serif" w:hAnsi="Times New Roman;Times;Serif"/>
                <w:b/>
                <w:i w:val="false"/>
                <w:caps w:val="false"/>
                <w:smallCaps w:val="false"/>
                <w:sz w:val="20"/>
              </w:rPr>
              <w:t>001-38764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42-3265309</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jc w:val="left"/>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116 Village Boulevard, </w:t>
            </w:r>
            <w:bookmarkStart w:id="9" w:name="xdx_90E_edei--EntityAddressAddressLine2_"/>
            <w:bookmarkEnd w:id="9"/>
            <w:r>
              <w:rPr>
                <w:rFonts w:ascii="Times New Roman;Times;Serif" w:hAnsi="Times New Roman;Times;Serif"/>
                <w:b/>
                <w:i w:val="false"/>
                <w:caps w:val="false"/>
                <w:smallCaps w:val="false"/>
                <w:sz w:val="20"/>
              </w:rPr>
              <w:t xml:space="preserve">Suite 200, </w:t>
            </w:r>
            <w:bookmarkStart w:id="10" w:name="xdx_901_edei--EntityAddressCityOrTown_c2"/>
            <w:bookmarkEnd w:id="10"/>
            <w:r>
              <w:rPr>
                <w:rFonts w:ascii="Times New Roman;Times;Serif" w:hAnsi="Times New Roman;Times;Serif"/>
                <w:b/>
                <w:i w:val="false"/>
                <w:caps w:val="false"/>
                <w:smallCaps w:val="false"/>
                <w:sz w:val="20"/>
              </w:rPr>
              <w:t xml:space="preserve">Princeton, </w:t>
            </w:r>
            <w:bookmarkStart w:id="11" w:name="xdx_908_edei--EntityAddressStateOrProvin"/>
            <w:bookmarkEnd w:id="11"/>
            <w:r>
              <w:rPr>
                <w:rFonts w:ascii="Times New Roman;Times;Serif" w:hAnsi="Times New Roman;Times;Serif"/>
                <w:b/>
                <w:i w:val="false"/>
                <w:caps w:val="false"/>
                <w:smallCaps w:val="false"/>
                <w:sz w:val="20"/>
              </w:rPr>
              <w:t xml:space="preserve">NJ </w:t>
            </w:r>
            <w:bookmarkStart w:id="12" w:name="xdx_903_edei--EntityAddressPostalZipCode"/>
            <w:bookmarkEnd w:id="12"/>
            <w:r>
              <w:rPr>
                <w:rFonts w:ascii="Times New Roman;Times;Serif" w:hAnsi="Times New Roman;Times;Serif"/>
                <w:b/>
                <w:i w:val="false"/>
                <w:caps w:val="false"/>
                <w:smallCaps w:val="false"/>
                <w:sz w:val="20"/>
              </w:rPr>
              <w:t>08540</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F_edei--CityAreaCode_c20261013__20"/>
      <w:bookmarkEnd w:id="13"/>
      <w:r>
        <w:rPr>
          <w:rFonts w:ascii="Times New Roman;Times;Serif" w:hAnsi="Times New Roman;Times;Serif"/>
          <w:b w:val="false"/>
          <w:i w:val="false"/>
          <w:caps w:val="false"/>
          <w:smallCaps w:val="false"/>
          <w:sz w:val="20"/>
        </w:rPr>
        <w:t>609-</w:t>
      </w:r>
      <w:bookmarkStart w:id="14" w:name="xdx_90C_edei--LocalPhoneNumber_c20261013"/>
      <w:bookmarkEnd w:id="14"/>
      <w:r>
        <w:rPr>
          <w:rFonts w:ascii="Times New Roman;Times;Serif" w:hAnsi="Times New Roman;Times;Serif"/>
          <w:b w:val="false"/>
          <w:i w:val="false"/>
          <w:caps w:val="false"/>
          <w:smallCaps w:val="false"/>
          <w:sz w:val="20"/>
        </w:rPr>
        <w:t>951-2222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Group Limited</w:t>
      </w:r>
    </w:p>
    <w:p>
      <w:pPr>
        <w:pStyle w:val="TextBody"/>
        <w:bidi w:val="0"/>
        <w:jc w:val="center"/>
        <w:rPr>
          <w:rFonts w:ascii="Times New Roman;Times;Serif" w:hAnsi="Times New Roman;Times;Serif"/>
          <w:b w:val="false"/>
          <w:i w:val="false"/>
          <w:caps w:val="false"/>
          <w:smallCaps w:val="false"/>
          <w:sz w:val="20"/>
        </w:rPr>
      </w:pPr>
      <w:bookmarkStart w:id="15" w:name="xdx_90C_edei--EntityAddressAddressLine1_"/>
      <w:bookmarkEnd w:id="15"/>
      <w:r>
        <w:rPr>
          <w:rFonts w:ascii="Times New Roman;Times;Serif" w:hAnsi="Times New Roman;Times;Serif"/>
          <w:b w:val="false"/>
          <w:i w:val="false"/>
          <w:caps w:val="false"/>
          <w:smallCaps w:val="false"/>
          <w:sz w:val="20"/>
        </w:rPr>
        <w:t>17 Hanover Square</w:t>
      </w:r>
    </w:p>
    <w:p>
      <w:pPr>
        <w:pStyle w:val="TextBody"/>
        <w:bidi w:val="0"/>
        <w:jc w:val="center"/>
        <w:rPr>
          <w:rFonts w:ascii="Times New Roman;Times;Serif" w:hAnsi="Times New Roman;Times;Serif"/>
          <w:b w:val="false"/>
          <w:i w:val="false"/>
          <w:caps w:val="false"/>
          <w:smallCaps w:val="false"/>
          <w:sz w:val="20"/>
        </w:rPr>
      </w:pPr>
      <w:bookmarkStart w:id="16" w:name="xdx_90B_edei--EntityAddressCityOrTown_c2"/>
      <w:bookmarkEnd w:id="16"/>
      <w:r>
        <w:rPr>
          <w:rFonts w:ascii="Times New Roman;Times;Serif" w:hAnsi="Times New Roman;Times;Serif"/>
          <w:b w:val="false"/>
          <w:i w:val="false"/>
          <w:caps w:val="false"/>
          <w:smallCaps w:val="false"/>
          <w:sz w:val="20"/>
        </w:rPr>
        <w:t xml:space="preserve">London </w:t>
      </w:r>
      <w:bookmarkStart w:id="17" w:name="xdx_902_edei--EntityAddressPostalZipCode"/>
      <w:bookmarkEnd w:id="17"/>
      <w:r>
        <w:rPr>
          <w:rFonts w:ascii="Times New Roman;Times;Serif" w:hAnsi="Times New Roman;Times;Serif"/>
          <w:b w:val="false"/>
          <w:i w:val="false"/>
          <w:caps w:val="false"/>
          <w:smallCaps w:val="false"/>
          <w:sz w:val="20"/>
        </w:rPr>
        <w:t xml:space="preserve">W1S 1BN, </w:t>
      </w:r>
      <w:bookmarkStart w:id="18" w:name="xdx_905_edei--EntityAddressCountry_c2026"/>
      <w:bookmarkEnd w:id="18"/>
      <w:r>
        <w:rPr>
          <w:rFonts w:ascii="Times New Roman;Times;Serif" w:hAnsi="Times New Roman;Times;Serif"/>
          <w:b w:val="false"/>
          <w:i w:val="false"/>
          <w:caps w:val="false"/>
          <w:smallCaps w:val="false"/>
          <w:sz w:val="20"/>
        </w:rPr>
        <w:t>United Kingdom</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8_edei--WrittenCommunications_c202"/>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C_edei--SolicitingMaterial_c202610"/>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9_edei--PreCommencementTenderOffer"/>
            <w:bookmarkEnd w:id="21"/>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2" w:name="xdx_908_edei--PreCommencementIssuerTende"/>
            <w:bookmarkEnd w:id="22"/>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Security12bTitle_c20261013"/>
            <w:bookmarkEnd w:id="23"/>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F_edei--TradingSymbol_c20261013__2"/>
            <w:bookmarkEnd w:id="24"/>
            <w:r>
              <w:rPr>
                <w:rFonts w:ascii="Times New Roman;Times;Serif" w:hAnsi="Times New Roman;Times;Serif"/>
                <w:b w:val="false"/>
                <w:i w:val="false"/>
                <w:caps w:val="false"/>
                <w:smallCaps w:val="false"/>
                <w:sz w:val="20"/>
              </w:rPr>
              <w:t>NIKI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5" w:name="xdx_904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D_edei--EntityEmergingGrowthCompan"/>
      <w:bookmarkEnd w:id="26"/>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 Departure of Directors or Principal Officers; Election of Directors; Appointment of Principal Officers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Board of Directors (the “Board”) of Niki BioSolutions, Inc., a Delaware corporation (the “Company”), appointed Thomas Freeburg as the Chief Financial Officer, to serve at the discretion of the Board, for a period of two years, commencing as of September 1, 2026, unless terminated sooner by either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his appointment, Mr. Freeburg, age 59, was the Managing Member of Cambridge Accounting Group, LLC from 2014 to September 2017 and April 2023 to August 2026. Mr. Freeburg was previously employed by Interpace Biosciences, Inc. (NASDAQ: IDXG) and served as the company’s Chief Accounting Officer from October 2017 through January 2021, and as Chief Financial Officer, Secretary and Treasurer from February 2021 through March 2023. From 2009 to 2014, Mr. Freeburg served as the Director of SEC Reporting and Accounting Policies for Coach, Inc., which was the predecessor company to Tapestry, Inc. (NYSE: TPR). From 2006 to 2008, Mr. Freeburg served as the Director of External Reporting of Scholastic Corporation (NASDAQ: SCHL). Mr. Freeburg is a Certified Public Accountant and earned his Bachelor of Science degree in Public Accounting from Long Island University.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Employment Agreement between the Company and Mr. Freeburg, Mr. Freeburg will receive a base salary of $250,000, which shall be paid monthly although $25,000 shall be deferred until such time as the Company receives certain funding, as set forth in the Employment Agreement; his base salary shall increase to $275,000, upon the Company’s receipt of additional funding. Mr. Freeburg is also entitled to an annual bonus in an amount up to 50% of his base salary. Mr. Freeburg shall also receive 50,000 stock options, with an exercise price equal to $8.83 per share, with an agreed upon vesting schedule. Either party can terminate the agreement upon 45 days’ notice prior to the end of the then current term, and the Company may remove Mr. Freeburg at any time for cause and to the extent permitted by applicable law; the Employment Agreement specifies the benefits and compensation for which Mr. Freeburg is entitled based upon the reason for such termination. Mr. Freeburg is also entitled to specified benefits and severance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Freeburg and any director or executive officer of the Company, and there are no arrangements or understandings between Mr. Freeburg and any other person pursuant to which he was selected as an officer of the Company. Mr. Freeburg has no direct or indirect material interest in any transaction required to be disclosed pursuant to Item 404(a) of Regulation S-K.</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Employment Agreement is qualified in its entirety by reference to said agreement, which is filed as Exhibit 10.1 to this Current Report on Form 8-K and incorporated herein by reference.</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28" w:type="dxa"/>
          <w:right w:w="0" w:type="dxa"/>
        </w:tblCellMar>
      </w:tblPr>
      <w:tblGrid>
        <w:gridCol w:w="665"/>
        <w:gridCol w:w="60"/>
        <w:gridCol w:w="483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5" w:type="dxa"/>
            <w:tcBorders/>
            <w:shd w:fill="CCEEFF" w:val="clear"/>
            <w:tcMar>
              <w:bottom w:w="0" w:type="dxa"/>
            </w:tcMar>
            <w:vAlign w:val="center"/>
          </w:tcPr>
          <w:p>
            <w:pPr>
              <w:pStyle w:val="TableContents"/>
              <w:bidi w:val="0"/>
              <w:spacing w:before="0" w:after="283"/>
              <w:jc w:val="left"/>
              <w:rPr/>
            </w:pPr>
            <w:hyperlink w:anchor="ea030830701ex10-1.htm">
              <w:r>
                <w:rPr>
                  <w:rStyle w:val="InternetLink"/>
                  <w:rFonts w:ascii="Times New Roman;Times;Serif" w:hAnsi="Times New Roman;Times;Serif"/>
                  <w:b w:val="false"/>
                  <w:i w:val="false"/>
                  <w:caps w:val="false"/>
                  <w:smallCaps w:val="false"/>
                  <w:sz w:val="20"/>
                </w:rPr>
                <w:t>Employment Agreement with Thomas Freeburg</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13, 2026</w:t>
      </w:r>
    </w:p>
    <w:p>
      <w:pPr>
        <w:pStyle w:val="TextBody"/>
        <w:bidi w:val="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390"/>
        <w:gridCol w:w="20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20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08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Ian Huen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20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Huen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20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b/>
        </w:rPr>
      </w:pPr>
      <w:bookmarkStart w:id="27" w:name="ea030830701ex10-1.htm"/>
      <w:bookmarkStart w:id="28" w:name="ksea030830701ex101"/>
      <w:bookmarkEnd w:id="27"/>
      <w:bookmarkEnd w:id="28"/>
      <w:r>
        <w:rPr>
          <w:b/>
        </w:rPr>
        <w:t>Exhibit 10.1</w:t>
      </w:r>
      <w:r>
        <w:br w:type="page"/>
      </w:r>
    </w:p>
    <w:p>
      <w:pPr>
        <w:pStyle w:val="TextBody"/>
        <w:bidi w:val="0"/>
        <w:jc w:val="center"/>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jc w:val="center"/>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made by and between </w:t>
      </w:r>
      <w:r>
        <w:rPr>
          <w:rFonts w:ascii="Times New Roman;Times;Serif" w:hAnsi="Times New Roman;Times;Serif"/>
          <w:b/>
          <w:i w:val="false"/>
          <w:caps w:val="false"/>
          <w:smallCaps w:val="false"/>
          <w:sz w:val="20"/>
        </w:rPr>
        <w:t>Niki BioSolutions,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whose mailing address is 116 Village Boulevard, Suite 200, Princeton, NJ 08540 and </w:t>
      </w:r>
      <w:r>
        <w:rPr>
          <w:rFonts w:ascii="Times New Roman;Times;Serif" w:hAnsi="Times New Roman;Times;Serif"/>
          <w:b/>
          <w:i w:val="false"/>
          <w:caps w:val="false"/>
          <w:smallCaps w:val="false"/>
          <w:sz w:val="20"/>
        </w:rPr>
        <w:t>Thomas Freeburg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residing at XXX. Executive and Company are hereinunder sometimes referred to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employ Executive and to have the benefit of his skills and services under the terms of this Agreement, commencing on September 1, 2026 (the “</w:t>
      </w:r>
      <w:r>
        <w:rPr>
          <w:rFonts w:ascii="Times New Roman;Times;Serif" w:hAnsi="Times New Roman;Times;Serif"/>
          <w:b w:val="false"/>
          <w:i w:val="false"/>
          <w:caps w:val="false"/>
          <w:smallCaps w:val="false"/>
          <w:sz w:val="20"/>
          <w:u w:val="single"/>
        </w:rPr>
        <w:t>Commencement Date</w:t>
      </w:r>
      <w:r>
        <w:rPr>
          <w:rFonts w:ascii="Times New Roman;Times;Serif" w:hAnsi="Times New Roman;Times;Serif"/>
          <w:b w:val="false"/>
          <w:i w:val="false"/>
          <w:caps w:val="false"/>
          <w:smallCaps w:val="false"/>
          <w:sz w:val="20"/>
        </w:rPr>
        <w:t>”) upon and subject to the terms herein provided; and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Executive is willing to agree to be employed by the Company upon and subject to the terms herein provided;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xml:space="preserve">, in consideration of the mutual promises, terms, covenants and conditions set forth herein and in the Non-Disclosure, Non-Solicitation, and Intellectual Property Assignment Agreement (“Non-Disclosure and IP Assignment Agreement”),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hereinafter defined, and the performance of each, the parties hereto, intending legally to be bound, hereby agree as follows: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Prior Agreements, Acknowledgment and Release</w:t>
      </w:r>
      <w:r>
        <w:rPr>
          <w:rFonts w:ascii="Times New Roman;Times;Serif" w:hAnsi="Times New Roman;Times;Serif"/>
          <w:b w:val="false"/>
          <w:i w:val="false"/>
          <w:caps w:val="false"/>
          <w:smallCaps w:val="false"/>
          <w:sz w:val="20"/>
        </w:rPr>
        <w:t>. As of the Commencement Date all prior consulting agreements and any amendments thereto, whether with DiamiR, the Company, Aptorum Group Limited, a Cayman Islands exempted company with limited liability, or any other entity affiliated with the Company, are terminated, except for those terms that are intended to survive termination.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Position</w:t>
      </w:r>
      <w:r>
        <w:rPr>
          <w:rFonts w:ascii="Times New Roman;Times;Serif" w:hAnsi="Times New Roman;Times;Serif"/>
          <w:b w:val="false"/>
          <w:i w:val="false"/>
          <w:caps w:val="false"/>
          <w:smallCaps w:val="false"/>
          <w:sz w:val="20"/>
        </w:rPr>
        <w:t>. The terms of Executive’s position with the Company are as set forth below:</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Title and Reporting - Executive shall serve as Chief Financial Officer of the Company, and shall have responsibilities, duties and authority normally ascribed to that position in a life sciences company of similar size and stage in the biotechnology industry as assigned to Executive from time to time by the Chief Executive Officer (“CEO”) and/or the Board of the Company (the “Board”).</w:t>
      </w:r>
    </w:p>
    <w:p>
      <w:pPr>
        <w:pStyle w:val="TextBody"/>
        <w:bidi w:val="0"/>
        <w:ind w:left="90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Duties - The Executive shall have overall responsibility for the Company’s day-to-day financial operations of the Company including, but not limited to, leading the Company’s overall financial strategy, planning, execution, and advising the CEO and Board on:</w:t>
      </w:r>
    </w:p>
    <w:p>
      <w:pPr>
        <w:pStyle w:val="TextBody"/>
        <w:bidi w:val="0"/>
        <w:ind w:left="9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Capital allocation and growth strategy;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Financial risks and opportunities;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Developing and maintaining long-term financial models and forecasts;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Overseeing budgeting, forecasting, and financial planning processes;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Oversight and certification of all filings with the U.S. Securities and Exchange Commission, including Form 10-K, Form 10-Q, Form 8-K, and Proxy statements (DEF 14A);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Ensuring compliance with the Sarbanes-Oxley Act (SOX), GAAP and applicable accounting standards;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Establishing and maintaining disclosure controls and procedures;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Overseeing Information technology general controls regarding financially relevant systems;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Coordinating external auditors and managing annual audits;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Overseeing all tax matters, including federal, state, and international tax compliance and tax planning and optimization;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Managing relationships with external tax advisors.</w:t>
            </w:r>
          </w:p>
        </w:tc>
      </w:tr>
    </w:tbl>
    <w:p>
      <w:pPr>
        <w:pStyle w:val="TextBody"/>
        <w:bidi w:val="0"/>
        <w:ind w:left="1620" w:right="0" w:hanging="360"/>
        <w:jc w:val="both"/>
        <w:rPr>
          <w:caps w:val="false"/>
          <w:smallCaps w:val="false"/>
        </w:rPr>
      </w:pPr>
      <w:r>
        <w:rPr>
          <w:caps w:val="false"/>
          <w:smallCaps w:val="false"/>
        </w:rPr>
        <w:t> </w:t>
      </w:r>
    </w:p>
    <w:p>
      <w:pPr>
        <w:pStyle w:val="TextBody"/>
        <w:bidi w:val="0"/>
        <w:spacing w:before="0" w:after="0"/>
        <w:ind w:left="1620" w:right="0" w:hanging="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ind w:left="16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 shall act at all times to promote the Company’s business and best interests. Executive shall devote substantially all of his business time and attention, labor, skill and best ability to the performance of his duties hereunder in a manner and effort to, faithfully and diligently further and expand the business and interests of the Company.</w:t>
      </w:r>
    </w:p>
    <w:p>
      <w:pPr>
        <w:pStyle w:val="TextBody"/>
        <w:bidi w:val="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CEO and Board will evaluate Employee annually, and Executive will be required to perform self-evaluation annually.</w:t>
      </w:r>
    </w:p>
    <w:p>
      <w:pPr>
        <w:pStyle w:val="TextBody"/>
        <w:bidi w:val="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Executive will consult with the CEO and the Board prior to accepting any other (or further) directorships of companies or any external appointments and promptly inform the Board of acceptance of any such appointment. All potential conflicts of interest must be disclosed, as specified under the Company’s Conflicts policy.</w:t>
      </w:r>
    </w:p>
    <w:p>
      <w:pPr>
        <w:pStyle w:val="TextBody"/>
        <w:bidi w:val="0"/>
        <w:ind w:left="900" w:right="0" w:hanging="3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Employment Term</w:t>
      </w:r>
      <w:r>
        <w:rPr>
          <w:rFonts w:ascii="Times New Roman;Times;Serif" w:hAnsi="Times New Roman;Times;Serif"/>
          <w:b w:val="false"/>
          <w:i w:val="false"/>
          <w:caps w:val="false"/>
          <w:smallCaps w:val="false"/>
          <w:sz w:val="20"/>
        </w:rPr>
        <w:t>. Unless the Executive’s employment shall sooner terminate pursuant to Section “4,” the Company shall employ the Executive for a term of two years commencing on the Commencement Date (the “Initial Term”). Following the Initial Term, this Agreement shall automatically renew for successive one (1) year terms (the “Term”) unless either party provides written notice at least 45 (forty-five) days prior to the end of the then current Term that it will not be renewing the Agreement.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xml:space="preserve"> Upon the termination of Executive’s employment with the Company for any reason, Executive shall be entitled to receive (i) any Base Salary that had accrued but had not been paid through the termination date; (ii) all accrued and unused PTO time; and (iii) any reimbursement due to Executive pursuant to Section 6(c)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ind w:left="5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Involuntary Termination.</w:t>
      </w:r>
      <w:r>
        <w:rPr>
          <w:rFonts w:ascii="Times New Roman;Times;Serif" w:hAnsi="Times New Roman;Times;Serif"/>
          <w:b w:val="false"/>
          <w:i w:val="false"/>
          <w:caps w:val="false"/>
          <w:smallCaps w:val="false"/>
          <w:sz w:val="20"/>
        </w:rPr>
        <w:t xml:space="preserve"> If Executive’s employment is terminated by the Company without Cause (as defined herein) or if Executive resigns from Executive’s employment for Good Reason (as defined herein) (for purposes of clarity, a termination without Cause does not include a termination that occurs as a result of Executive’s death or disability), and provided that such termination constitutes a “separation from service” as defined in Treasury Regulation Section 1.409A-1(h) (“Separation”) and Executive timely signs and does not revoke a general release ( “Release”) of all claims, including employment claims (the “Deadline” or the “Effective Date”), then in addition to the Accrued Obligations, Employee shall be paid within 10 (ten) days of the Effective Date in a single lump sum payment if the termination is during the Initial Term, the remaining balance of his then current Base Salary through the end of the Initial Term or six (6) months, whichever is greater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As a condition of receiving Severance Pay, Executive must, within five business days after Executive’s employment terminates for any reason, deliver written resignation(s) effective immediately upon delivery, from any and all positions and offices he holds with Employer or any of its affiliates, or any board of directors thereof.</w:t>
      </w:r>
    </w:p>
    <w:p>
      <w:pPr>
        <w:pStyle w:val="TextBody"/>
        <w:bidi w:val="0"/>
        <w:ind w:left="5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xml:space="preserve"> If Executive’s employment with the Company terminates for Cause by the Company or due to Executive’s death or Total Disability, then all payments of compensation by the Company to Executive hereunder will terminate immediately (except Accrued Obligations). For purposes hereof, Executive shall be deemed to experience a Total Disability if he shall have been unable to perform his duties hereunder on a full-time basis for 60 consecutive days or longer, or for shorter periods aggregating 90 days in any 360-day period. Upon termination of the Executive’s employment for Cause, the Executive shall be entitled only to:</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earned but unpaid Base Salary through the date of termination;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reimbursement of properly incurred business expenses in accordance with Company policy;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vested benefits under any applicable employee benefit plans in accordance with the terms of such plans;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amounts required by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any applicable equity award agreement or equity incentive plan, all unvested equity awards shall be immediately forfeited upon a termination for Cause, and any post-termination exercise rights shall be governed by the applicable equity award agreements and the Company’s equity incentive plan.</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Termination.</w:t>
      </w:r>
      <w:r>
        <w:rPr>
          <w:rFonts w:ascii="Times New Roman;Times;Serif" w:hAnsi="Times New Roman;Times;Serif"/>
          <w:b w:val="false"/>
          <w:i w:val="false"/>
          <w:caps w:val="false"/>
          <w:smallCaps w:val="false"/>
          <w:sz w:val="20"/>
        </w:rPr>
        <w:t xml:space="preserve"> Executive may terminate his employment without Good Reason upon 45 days written notice, in which case and provided that such termination constitutes a “separation from service” as defined in Treasury Regulation Section 1.409A-1(h) (“Separation”) and Executive signs and does not revoke a general Release and such Release becomes effective within thirty (30) days of Executive’s Separation (the “Deadline”), Executive (or his estate or representative, as applicable) shall be paid the Accrued Obligations.</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Term.</w:t>
      </w:r>
      <w:r>
        <w:rPr>
          <w:rFonts w:ascii="Times New Roman;Times;Serif" w:hAnsi="Times New Roman;Times;Serif"/>
          <w:b w:val="false"/>
          <w:i w:val="false"/>
          <w:caps w:val="false"/>
          <w:smallCaps w:val="false"/>
          <w:sz w:val="20"/>
        </w:rPr>
        <w:t xml:space="preserve"> Termination of this Agreement due to expiration of the Initial Term, or of any subsequent term, due to non-renewal, shall not be considered a termination without “Cause” or a resignation for “Good Reason,” and shall entitle the Executive to Severance Pay in a single lump sum payment equal to three months of his then current Base Salary.</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Forfeiture of Rights.</w:t>
      </w:r>
      <w:r>
        <w:rPr>
          <w:rFonts w:ascii="Times New Roman;Times;Serif" w:hAnsi="Times New Roman;Times;Serif"/>
          <w:b w:val="false"/>
          <w:i w:val="false"/>
          <w:caps w:val="false"/>
          <w:smallCaps w:val="false"/>
          <w:sz w:val="20"/>
        </w:rPr>
        <w:t xml:space="preserve"> In the event that, subsequent to termination of Executive’s employment hereunder, Executive materially breaches any provision of the Non-Disclosure and IP Assignment Agreement, the Company shall provide written notice to Executive specifying in reasonable detail the nature of such alleged breach. Executive shall have thirty (30) days following receipt of such notice to cure such breach, to the extent curable. If Executive fails to cure such breach within such thirty (30)-day period (the “cure period”) or if the breach is not curable as agreed to by a majority of the independent board members, the Company may, as its sole and exclusive remedy with respect to such breach, suspend and thereafter terminate any unpaid payments and benefits to which Executive would otherwise be entitled pursuant to this Section 4; provided, however, that (i) any payments already received by Executive prior to such suspension shall not be subject to clawback or repayment, (ii) such forfeiture shall apply only to payments and benefits arising under this Section 4 and shall not affect any vested equity, accrued but unpaid base salary, or vested retirement benefits, and (iii) the Company’s right to forfeiture shall be subject to a final determination by a court of competent jurisdiction if Employee disputes the existence or materiality of such breach within thirty (30) days after the cure period.</w:t>
      </w:r>
    </w:p>
    <w:p>
      <w:pPr>
        <w:pStyle w:val="TextBody"/>
        <w:bidi w:val="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p>
    <w:p>
      <w:pPr>
        <w:pStyle w:val="TextBody"/>
        <w:bidi w:val="0"/>
        <w:ind w:left="5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xml:space="preserve"> For purposes of this Agreement, “Cause” is defined as</w:t>
      </w:r>
    </w:p>
    <w:p>
      <w:pPr>
        <w:pStyle w:val="TextBody"/>
        <w:bidi w:val="0"/>
        <w:ind w:left="1440" w:right="0" w:hanging="36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23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360" w:type="dxa"/>
            <w:tcBorders/>
            <w:vAlign w:val="center"/>
          </w:tcPr>
          <w:p>
            <w:pPr>
              <w:pStyle w:val="TableContents"/>
              <w:bidi w:val="0"/>
              <w:spacing w:before="0" w:after="283"/>
              <w:jc w:val="both"/>
              <w:rPr/>
            </w:pPr>
            <w:r>
              <w:rPr/>
              <w:t>Executive’s willful fraud upon, or deliberate injury or attempted injury to, the Company;</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Executive’s gross negligence or intentional misconduct with respect to the performance of Executive’s duties under this Agreement or any contract between Executive and the Company after written notice from the Board specifying such failure and the Executive’s failure to cure within thirty (30) days.</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(iii)</w:t>
            </w:r>
          </w:p>
        </w:tc>
        <w:tc>
          <w:tcPr>
            <w:tcW w:w="9873" w:type="dxa"/>
            <w:tcBorders/>
            <w:vAlign w:val="center"/>
          </w:tcPr>
          <w:p>
            <w:pPr>
              <w:pStyle w:val="TableContents"/>
              <w:bidi w:val="0"/>
              <w:spacing w:before="0" w:after="283"/>
              <w:jc w:val="both"/>
              <w:rPr/>
            </w:pPr>
            <w:r>
              <w:rPr/>
              <w:t>conduct of Executive that, based upon a good faith and reasonable factual investigation and determination by the Board, demonstrates Executive’s gross unfitness to serve, including continued or excessive absences or tardiness (not including authorized leaves or absence, FMLA leave, or absences that are a result of an accommodation under ADA);</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(iv)</w:t>
            </w:r>
          </w:p>
        </w:tc>
        <w:tc>
          <w:tcPr>
            <w:tcW w:w="9881" w:type="dxa"/>
            <w:tcBorders/>
            <w:vAlign w:val="center"/>
          </w:tcPr>
          <w:p>
            <w:pPr>
              <w:pStyle w:val="TableContents"/>
              <w:bidi w:val="0"/>
              <w:spacing w:before="0" w:after="283"/>
              <w:jc w:val="both"/>
              <w:rPr/>
            </w:pPr>
            <w:r>
              <w:rPr/>
              <w:t>Executive’s material breach of: (x) this Agreement or the Non-Disclosure and IP Assignment Agreement or (y) any statutory (including fiduciary) duty of the Executive to the Company; provided, however, that no such termination under this subsection (iv) or (ii) above will be deemed to be a Termination for Cause unless the Company has provided Executive with written notice of what it reasonably believes are the grounds for any Termination for Cause and Executive fails to take appropriate remedial actions within thirty (30) day period following receipt of such written notice.</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(v)</w:t>
            </w:r>
          </w:p>
        </w:tc>
        <w:tc>
          <w:tcPr>
            <w:tcW w:w="9933" w:type="dxa"/>
            <w:tcBorders/>
            <w:vAlign w:val="center"/>
          </w:tcPr>
          <w:p>
            <w:pPr>
              <w:pStyle w:val="TableContents"/>
              <w:bidi w:val="0"/>
              <w:spacing w:before="0" w:after="283"/>
              <w:jc w:val="both"/>
              <w:rPr/>
            </w:pPr>
            <w:r>
              <w:rPr/>
              <w:t>Notice and Opportunity to Cure</w:t>
            </w:r>
            <w:r>
              <w:rPr>
                <w:b/>
              </w:rPr>
              <w:t>.</w:t>
            </w:r>
            <w:r>
              <w:rPr/>
              <w:t> Except in the case of fraud, embezzlement, theft, or other conduct that is not reasonably capable of cure, the Company shall provide the Executive with written notice describing the alleged grounds for Cause in reasonable detail. The Executive shall have thirty (30) days following receipt of such notice to cure the alleged conduct, if curable.</w:t>
            </w:r>
          </w:p>
        </w:tc>
      </w:tr>
    </w:tbl>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(vi)</w:t>
            </w:r>
          </w:p>
        </w:tc>
        <w:tc>
          <w:tcPr>
            <w:tcW w:w="9865" w:type="dxa"/>
            <w:tcBorders/>
            <w:vAlign w:val="center"/>
          </w:tcPr>
          <w:p>
            <w:pPr>
              <w:pStyle w:val="TableContents"/>
              <w:bidi w:val="0"/>
              <w:spacing w:before="0" w:after="283"/>
              <w:jc w:val="both"/>
              <w:rPr/>
            </w:pPr>
            <w:r>
              <w:rPr/>
              <w:t>Board Determination. A termination for Cause shall become effective only upon the affirmative and good faith approval of a majority of the Board after the Executive has been given a reasonable opportunity to present the Executive’s position to the Board.</w:t>
            </w:r>
          </w:p>
        </w:tc>
      </w:tr>
    </w:tbl>
    <w:p>
      <w:pPr>
        <w:pStyle w:val="TextBody"/>
        <w:bidi w:val="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For purposes of this Agreement, “Good Reason” is defined as a voluntary resignation by Executive upon forty-five (45) days prior written notice to the Company, within sixty (60) days following the occurrence of one or more of the following events without Executive’s prior written consent:</w:t>
      </w:r>
    </w:p>
    <w:p>
      <w:pPr>
        <w:pStyle w:val="TextBody"/>
        <w:bidi w:val="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a reduction of Executive’s Base Salary other than as a part of an across-the-board salary reduction of the same percentage applicable to executive officers of the Company;</w:t>
            </w:r>
          </w:p>
        </w:tc>
      </w:tr>
    </w:tbl>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removal of the Executive from the position of Chief Financial Officer (except for (i) promotion to an equivalent or higher position or (ii) the end of the Term in accordance with Section 3) or assignment of a title or responsibilities that are materially inferior in status, authority, or responsibility;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a material reduction in the personnel, facilities, systems, or financial resources reasonably necessary for the Executive to perform the Executive’s duties, after written notice to the Company and a reasonable opportunity to cure;</w:t>
            </w:r>
          </w:p>
        </w:tc>
      </w:tr>
    </w:tbl>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283"/>
              <w:jc w:val="both"/>
              <w:rPr/>
            </w:pPr>
            <w:r>
              <w:rPr/>
              <w:t>a material breach by the Company of this Agreement; and provided further that the Company shall have thirty (30) days after delivery of such notice to cure one or more of the foregoing events identified in such written notice, and only if the breach is capable of cure and the Company does not cure within that time shall there be Good Reason; or</w:t>
            </w:r>
          </w:p>
        </w:tc>
      </w:tr>
    </w:tbl>
    <w:p>
      <w:pPr>
        <w:pStyle w:val="TextBody"/>
        <w:bidi w:val="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shall limit or impair the Board’s fiduciary duties, oversight responsibilities, or authority under applicable law, including but not limited to the Company’s bylaws.</w:t>
      </w:r>
    </w:p>
    <w:p>
      <w:pPr>
        <w:pStyle w:val="TextBody"/>
        <w:bidi w:val="0"/>
        <w:ind w:left="54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Compensation</w:t>
      </w:r>
      <w:r>
        <w:rPr>
          <w:rFonts w:ascii="Times New Roman;Times;Serif" w:hAnsi="Times New Roman;Times;Serif"/>
          <w:b w:val="false"/>
          <w:i w:val="false"/>
          <w:caps w:val="false"/>
          <w:smallCaps w:val="false"/>
          <w:sz w:val="20"/>
        </w:rPr>
        <w:t>. In consideration of the services to be rendered hereunder, the Company hereby agrees to pay Executive the compensation as set forth herein.</w:t>
      </w:r>
    </w:p>
    <w:p>
      <w:pPr>
        <w:pStyle w:val="TextBody"/>
        <w:bidi w:val="0"/>
        <w:ind w:left="540" w:right="0" w:hanging="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Executive will be paid an initial annual base salary (“Base Salary”) of $250,000.00 (Two Hundred Fifty Thousand Dollars) which will be paid monthly, in accordance with the Company’s regular payroll practices, starting on Commencement Date. $25,000 of the salary will be deferred and in the event the Company’s receives, during Executive’s Employment, an equity investment, convertible loan, or other financial transaction, or any combination thereof (“</w:t>
      </w:r>
      <w:r>
        <w:rPr>
          <w:rFonts w:ascii="Times New Roman;Times;Serif" w:hAnsi="Times New Roman;Times;Serif"/>
          <w:b w:val="false"/>
          <w:i w:val="false"/>
          <w:caps w:val="false"/>
          <w:smallCaps w:val="false"/>
          <w:sz w:val="20"/>
          <w:u w:val="single"/>
        </w:rPr>
        <w:t>Capital Investment</w:t>
      </w:r>
      <w:r>
        <w:rPr>
          <w:rFonts w:ascii="Times New Roman;Times;Serif" w:hAnsi="Times New Roman;Times;Serif"/>
          <w:b w:val="false"/>
          <w:i w:val="false"/>
          <w:caps w:val="false"/>
          <w:smallCaps w:val="false"/>
          <w:sz w:val="20"/>
        </w:rPr>
        <w:t>”) that results in cumulative gross proceeds to the Company during Executive’s employment of $3,000,000 (Three Million Dollars), the Company will pay the deferred salary in whole, minus customary payroll and tax withholdings. If the Company receives a Capital Investment that results in cumulative gross proceeds to the Company of $5,000,000 (Five Million Dollars) in cumulative gross proceeds during Executive’s employment, the Company will increase the Executive’s Base Salary to $275,000 (Two Hundred Seventy-Five Thousand Dollars). For the avoidance of doubt, the definition of Capital Investments includes:</w:t>
      </w:r>
    </w:p>
    <w:p>
      <w:pPr>
        <w:pStyle w:val="TextBody"/>
        <w:bidi w:val="0"/>
        <w:ind w:left="0" w:right="0" w:firstLine="54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85"/>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7745" w:type="dxa"/>
            <w:tcBorders/>
            <w:vAlign w:val="center"/>
          </w:tcPr>
          <w:p>
            <w:pPr>
              <w:pStyle w:val="TableContents"/>
              <w:bidi w:val="0"/>
              <w:spacing w:before="0" w:after="283"/>
              <w:jc w:val="both"/>
              <w:rPr/>
            </w:pPr>
            <w:r>
              <w:rPr/>
              <w:t>Sales of the Company’s common stock, preferred stock, or other equity securities;</w:t>
            </w:r>
          </w:p>
        </w:tc>
      </w:tr>
    </w:tbl>
    <w:p>
      <w:pPr>
        <w:pStyle w:val="TextBody"/>
        <w:bidi w:val="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Private placements, public offerings, registered direct offerings, at-the-market (“ATM”) offerings, PIPE financings, and rights offerings</w:t>
            </w:r>
          </w:p>
        </w:tc>
      </w:tr>
    </w:tbl>
    <w:p>
      <w:pPr>
        <w:pStyle w:val="TextBody"/>
        <w:bidi w:val="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Investments by venture capital firms, private equity funds, strategic investors, family offices, institutional investors, or individual accredited investors</w:t>
            </w:r>
          </w:p>
        </w:tc>
      </w:tr>
    </w:tbl>
    <w:p>
      <w:pPr>
        <w:pStyle w:val="TextBody"/>
        <w:bidi w:val="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Convertible notes, convertible preferred stock, SAFEs, warrants, or other equity-linked financing instruments</w:t>
            </w:r>
          </w:p>
        </w:tc>
      </w:tr>
    </w:tbl>
    <w:p>
      <w:pPr>
        <w:pStyle w:val="TextBody"/>
        <w:bidi w:val="0"/>
        <w:ind w:left="16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Any other transaction through which the Company receives cash or other financial resources to fund its operations or business activities.</w:t>
            </w:r>
          </w:p>
        </w:tc>
      </w:tr>
    </w:tbl>
    <w:p>
      <w:pPr>
        <w:pStyle w:val="TextBody"/>
        <w:bidi w:val="0"/>
        <w:ind w:left="16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may be increased, but shall not be decreased, without the Executive’s prior written consent.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Bonuses.</w:t>
      </w:r>
      <w:r>
        <w:rPr>
          <w:rFonts w:ascii="Times New Roman;Times;Serif" w:hAnsi="Times New Roman;Times;Serif"/>
          <w:b w:val="false"/>
          <w:i w:val="false"/>
          <w:caps w:val="false"/>
          <w:smallCaps w:val="false"/>
          <w:sz w:val="20"/>
        </w:rPr>
        <w:t xml:space="preserve"> In addition to the Base Salary, Executive shall be eligible to receive an annual bonus (the “</w:t>
      </w:r>
      <w:r>
        <w:rPr>
          <w:rFonts w:ascii="Times New Roman;Times;Serif" w:hAnsi="Times New Roman;Times;Serif"/>
          <w:b w:val="false"/>
          <w:i w:val="false"/>
          <w:caps w:val="false"/>
          <w:smallCaps w:val="false"/>
          <w:sz w:val="20"/>
          <w:u w:val="single"/>
        </w:rPr>
        <w:t>Bonus</w:t>
      </w:r>
      <w:r>
        <w:rPr>
          <w:rFonts w:ascii="Times New Roman;Times;Serif" w:hAnsi="Times New Roman;Times;Serif"/>
          <w:b w:val="false"/>
          <w:i w:val="false"/>
          <w:caps w:val="false"/>
          <w:smallCaps w:val="false"/>
          <w:sz w:val="20"/>
        </w:rPr>
        <w:t>”) in such amounts up to 50</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(fifty percent) of Base Salary, as shall be determined in the sole discretion of the Board of the Company following the end of each fiscal.</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xml:space="preserve"> In addition to (and not in lieu of) the Base Salary and any Bonus, Executive shall, on the Commencement Date, receive a grant of stock options (the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described in Exhibit “B” hereto. The Option shall be governed by the Niki BioSolutions, Inc. 2026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subject to any specific terms set forth in Exhibit B.</w:t>
      </w:r>
    </w:p>
    <w:p>
      <w:pPr>
        <w:pStyle w:val="TextBody"/>
        <w:bidi w:val="0"/>
        <w:ind w:left="0" w:right="0" w:firstLine="63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SEVERANCE COMPENSATION</w:t>
      </w:r>
      <w:r>
        <w:rPr>
          <w:rFonts w:ascii="Times New Roman;Times;Serif" w:hAnsi="Times New Roman;Times;Serif"/>
          <w:b w:val="false"/>
          <w:i w:val="false"/>
          <w:caps w:val="false"/>
          <w:smallCaps w:val="false"/>
          <w:sz w:val="20"/>
        </w:rPr>
        <w:t>. In the event of a Qualifying Termination (as defined below) and subject to the Executive’s timely execution and non-revocation of the Release within the period specified by the Company, which shall not exceed sixty (60) days following the date of termination, the Company shall provide the following severance benefits (collectively, “Standard Severance”):</w:t>
      </w:r>
    </w:p>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The Company shall pay the Executive’s Base Salary in effect immediately before the Qualifying Termination (without regard to any reduction constituting Good Reason) in accordance with section 4(b), payable in a lump sum in accordance with the Company’s regular payroll practices, subject to applicable tax withholding;</w:t>
            </w:r>
          </w:p>
        </w:tc>
      </w:tr>
    </w:tbl>
    <w:p>
      <w:pPr>
        <w:pStyle w:val="TextBody"/>
        <w:bidi w:val="0"/>
        <w:ind w:left="63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t>COBRA Continuation. To the extent the Executive timely elects continuation coverage under COBRA, the Company shall pay or reimburse the Executive for, the employer and employee portion of the COBRA premiums for the Executive and the Executive’s eligible dependents for the duration of the Severance Period, or until the Executive becomes eligible for comparable coverage through another employer, whichever occurs first;</w:t>
            </w:r>
          </w:p>
        </w:tc>
      </w:tr>
    </w:tbl>
    <w:p>
      <w:pPr>
        <w:pStyle w:val="TextBody"/>
        <w:bidi w:val="0"/>
        <w:ind w:left="63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(iii)</w:t>
            </w:r>
          </w:p>
        </w:tc>
        <w:tc>
          <w:tcPr>
            <w:tcW w:w="9876" w:type="dxa"/>
            <w:tcBorders/>
            <w:vAlign w:val="center"/>
          </w:tcPr>
          <w:p>
            <w:pPr>
              <w:pStyle w:val="TableContents"/>
              <w:bidi w:val="0"/>
              <w:spacing w:before="0" w:after="283"/>
              <w:jc w:val="both"/>
              <w:rPr/>
            </w:pPr>
            <w:r>
              <w:rPr/>
              <w:t>Equity Acceleration. All outstanding unvested Options held by the Executive shall immediately vest and become fully exercisable as of the effective date of the Executive’s Involuntary Termination, subject to the terms of the applicable Equity Incentive Plan and the applicable Award Agreements; all outstanding unvested stock options and other equity awards shall immediately vest. The Executive shall also receive:</w:t>
            </w:r>
          </w:p>
        </w:tc>
      </w:tr>
    </w:tbl>
    <w:p>
      <w:pPr>
        <w:pStyle w:val="TextBody"/>
        <w:bidi w:val="0"/>
        <w:ind w:left="630" w:right="0" w:hanging="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9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3080" w:type="dxa"/>
            <w:tcBorders/>
            <w:vAlign w:val="center"/>
          </w:tcPr>
          <w:p>
            <w:pPr>
              <w:pStyle w:val="TableContents"/>
              <w:bidi w:val="0"/>
              <w:spacing w:before="0" w:after="283"/>
              <w:jc w:val="both"/>
              <w:rPr/>
            </w:pPr>
            <w:r>
              <w:rPr/>
              <w:t>accrued but unpaid Base Salary;</w:t>
            </w:r>
          </w:p>
        </w:tc>
      </w:tr>
    </w:tbl>
    <w:p>
      <w:pPr>
        <w:pStyle w:val="TextBody"/>
        <w:bidi w:val="0"/>
        <w:ind w:left="1080" w:right="0" w:hanging="36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9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5480" w:type="dxa"/>
            <w:tcBorders/>
            <w:vAlign w:val="center"/>
          </w:tcPr>
          <w:p>
            <w:pPr>
              <w:pStyle w:val="TableContents"/>
              <w:bidi w:val="0"/>
              <w:spacing w:before="0" w:after="283"/>
              <w:jc w:val="both"/>
              <w:rPr/>
            </w:pPr>
            <w:r>
              <w:rPr/>
              <w:t>accrued but unused PTO payable under Company policy;</w:t>
            </w:r>
          </w:p>
        </w:tc>
      </w:tr>
    </w:tbl>
    <w:p>
      <w:pPr>
        <w:pStyle w:val="TextBody"/>
        <w:bidi w:val="0"/>
        <w:ind w:left="1080" w:right="0" w:hanging="36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3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460" w:type="dxa"/>
            <w:tcBorders/>
            <w:vAlign w:val="center"/>
          </w:tcPr>
          <w:p>
            <w:pPr>
              <w:pStyle w:val="TableContents"/>
              <w:bidi w:val="0"/>
              <w:spacing w:before="0" w:after="283"/>
              <w:jc w:val="both"/>
              <w:rPr/>
            </w:pPr>
            <w:r>
              <w:rPr/>
              <w:t>reimbursement of approved business expenses;</w:t>
            </w:r>
          </w:p>
        </w:tc>
      </w:tr>
    </w:tbl>
    <w:p>
      <w:pPr>
        <w:pStyle w:val="TextBody"/>
        <w:bidi w:val="0"/>
        <w:ind w:left="1080" w:right="0" w:hanging="36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3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4325" w:type="dxa"/>
            <w:tcBorders/>
            <w:vAlign w:val="center"/>
          </w:tcPr>
          <w:p>
            <w:pPr>
              <w:pStyle w:val="TableContents"/>
              <w:bidi w:val="0"/>
              <w:spacing w:before="0" w:after="283"/>
              <w:jc w:val="both"/>
              <w:rPr/>
            </w:pPr>
            <w:r>
              <w:rPr/>
              <w:t>vested benefits under employee benefit plans.</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(iv)</w:t>
            </w:r>
          </w:p>
        </w:tc>
        <w:tc>
          <w:tcPr>
            <w:tcW w:w="9874" w:type="dxa"/>
            <w:tcBorders/>
            <w:vAlign w:val="center"/>
          </w:tcPr>
          <w:p>
            <w:pPr>
              <w:pStyle w:val="TableContents"/>
              <w:bidi w:val="0"/>
              <w:spacing w:before="0" w:after="283"/>
              <w:jc w:val="both"/>
              <w:rPr/>
            </w:pPr>
            <w:r>
              <w:rPr/>
              <w:t>A “Qualifying Termination” means a termination of the Executive’s employment by the Company without Cause or a resignation by the Executive for Good Reason, in each case constituting a “separation from service” within the meaning of Treasury Regulation Section 1.409A-1(h) other than as a result of death, Disability, or voluntary resignation without Good Reason.</w:t>
            </w:r>
          </w:p>
        </w:tc>
      </w:tr>
    </w:tbl>
    <w:p>
      <w:pPr>
        <w:pStyle w:val="TextBody"/>
        <w:bidi w:val="0"/>
        <w:ind w:left="63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Benefits</w:t>
      </w:r>
      <w:r>
        <w:rPr>
          <w:rFonts w:ascii="Times New Roman;Times;Serif" w:hAnsi="Times New Roman;Times;Serif"/>
          <w:b w:val="false"/>
          <w:i w:val="false"/>
          <w:caps w:val="false"/>
          <w:smallCaps w:val="false"/>
          <w:sz w:val="20"/>
        </w:rPr>
        <w:t>.</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u w:val="single"/>
              </w:rPr>
              <w:t>Benefit Plan – Health Insurance, Life Insurance, Retirement</w:t>
            </w:r>
            <w:r>
              <w:rPr/>
              <w:t>. Executive will be eligible to participate in the all fringe benefits offered by the Company on the same terms and conditions as other similarly-situated employees. The Executive may elect to waive enrollment in the Company’s group health plan, in which case the Company shall pay the Executive a taxable monthly medical reimbursement of Five Hundred Dollars ($500). The Company reserves the right to amend, modify, or terminate any employee benefit plan at any time in accordance with applicable law.</w:t>
            </w:r>
          </w:p>
        </w:tc>
      </w:tr>
    </w:tbl>
    <w:p>
      <w:pPr>
        <w:pStyle w:val="TextBody"/>
        <w:bidi w:val="0"/>
        <w:ind w:left="9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u w:val="single"/>
              </w:rPr>
              <w:t>Retirement Benefits</w:t>
            </w:r>
            <w:r>
              <w:rPr>
                <w:b/>
              </w:rPr>
              <w:t xml:space="preserve">. </w:t>
            </w:r>
            <w:r>
              <w:rPr/>
              <w:t>The Executive shall be eligible to participate in the Company’s 401(k) retirement savings plan, subject to the terms of the applicable plan documents.</w:t>
            </w:r>
          </w:p>
        </w:tc>
      </w:tr>
    </w:tbl>
    <w:p>
      <w:pPr>
        <w:pStyle w:val="TextBody"/>
        <w:bidi w:val="0"/>
        <w:ind w:left="900" w:right="0" w:hanging="360"/>
        <w:jc w:val="both"/>
        <w:rPr>
          <w:caps w:val="false"/>
          <w:smallCaps w:val="false"/>
        </w:rPr>
      </w:pPr>
      <w:r>
        <w:rPr>
          <w:caps w:val="false"/>
          <w:smallCaps w:val="false"/>
        </w:rPr>
        <w:t> </w:t>
      </w:r>
    </w:p>
    <w:p>
      <w:pPr>
        <w:pStyle w:val="TextBody"/>
        <w:bidi w:val="0"/>
        <w:spacing w:before="0" w:after="0"/>
        <w:ind w:left="90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ind w:left="9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u w:val="single"/>
              </w:rPr>
              <w:t>Vacation; Sick Leave</w:t>
            </w:r>
            <w:r>
              <w:rPr/>
              <w:t>. Executive will be entitled to twenty (20) days of paid time off per year. Vacation may not be taken before it is accrued during the current year. Executive shall coordinate his vacation plans with the Board or its designee, so as not to endanger important projects, deliverables and deadlines of the Company.</w:t>
            </w:r>
          </w:p>
        </w:tc>
      </w:tr>
    </w:tbl>
    <w:p>
      <w:pPr>
        <w:pStyle w:val="TextBody"/>
        <w:bidi w:val="0"/>
        <w:ind w:left="9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u w:val="single"/>
              </w:rPr>
              <w:t>Directors’ and Officers’ Insurance and Indemnification.</w:t>
            </w:r>
            <w:r>
              <w:rPr/>
              <w:t> During the Executive’s employment and for so long thereafter as the Executive may remain subject to potential liability arising from the Executive’s service to the Company, the Company shall maintain directors’ and officers’ liability insurance covering the Executive on terms and in amounts no less favorable than those provided to other senior executive officers and directors of the Company. The Executive shall also be entitled to the full benefit of any indemnification rights provided under the Company’s Certificate of Incorporation, Bylaws, indemnification agreements, or applicable law.</w:t>
            </w:r>
          </w:p>
        </w:tc>
      </w:tr>
    </w:tbl>
    <w:p>
      <w:pPr>
        <w:pStyle w:val="TextBody"/>
        <w:bidi w:val="0"/>
        <w:ind w:left="9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1" w:type="dxa"/>
            <w:tcBorders/>
            <w:vAlign w:val="center"/>
          </w:tcPr>
          <w:p>
            <w:pPr>
              <w:pStyle w:val="TableContents"/>
              <w:bidi w:val="0"/>
              <w:spacing w:before="0" w:after="283"/>
              <w:jc w:val="both"/>
              <w:rPr/>
            </w:pPr>
            <w:r>
              <w:rPr>
                <w:u w:val="single"/>
              </w:rPr>
              <w:t>Technology Allowance.</w:t>
            </w:r>
            <w:r>
              <w:rPr/>
              <w:t xml:space="preserve"> The Company shall provide the Executive with a taxable monthly technology allowance of One Hundred Fifty Dollars ($150) to offset the cost of mobile telephone service, internet connectivity, and other business-related communication expenses. The allowance shall be paid through the Company’s regular business expenses process and shall not be subject to applicable tax withholding.</w:t>
            </w:r>
          </w:p>
        </w:tc>
      </w:tr>
    </w:tbl>
    <w:p>
      <w:pPr>
        <w:pStyle w:val="TextBody"/>
        <w:bidi w:val="0"/>
        <w:ind w:left="9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(f)</w:t>
            </w:r>
          </w:p>
        </w:tc>
        <w:tc>
          <w:tcPr>
            <w:tcW w:w="9956" w:type="dxa"/>
            <w:tcBorders/>
            <w:vAlign w:val="center"/>
          </w:tcPr>
          <w:p>
            <w:pPr>
              <w:pStyle w:val="TableContents"/>
              <w:bidi w:val="0"/>
              <w:spacing w:before="0" w:after="283"/>
              <w:jc w:val="both"/>
              <w:rPr/>
            </w:pPr>
            <w:r>
              <w:rPr>
                <w:u w:val="single"/>
              </w:rPr>
              <w:t>Other Benefits. Expenses</w:t>
            </w:r>
            <w:r>
              <w:rPr/>
              <w:t>. The Company will provide Executive with standard business reimbursements subject to Company policies and procedures and with appropriate receipts.</w:t>
            </w:r>
          </w:p>
        </w:tc>
      </w:tr>
    </w:tbl>
    <w:p>
      <w:pPr>
        <w:pStyle w:val="TextBody"/>
        <w:bidi w:val="0"/>
        <w:ind w:left="90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Legal Employment, Non-Disclosure and IP Assignment Agreement</w:t>
      </w:r>
      <w:r>
        <w:rPr>
          <w:rFonts w:ascii="Times New Roman;Times;Serif" w:hAnsi="Times New Roman;Times;Serif"/>
          <w:b w:val="false"/>
          <w:i w:val="false"/>
          <w:caps w:val="false"/>
          <w:smallCaps w:val="false"/>
          <w:sz w:val="20"/>
        </w:rPr>
        <w:t xml:space="preserve">. Executive’s acceptance of this offer and commencement of employment with the Company is contingent upon the execution, and delivery to an officer of the Company, of the Company’s Non-Disclosure and IP Assignment Agreement, a copy of which is annexed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for Executive’s review and execution, prior to or on Executive’s Commencement Date. This offer is further contingent upon the fact that Executive has proof that he is legally able to work in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Non-Solicitation</w:t>
      </w:r>
      <w:r>
        <w:rPr>
          <w:rFonts w:ascii="Times New Roman;Times;Serif" w:hAnsi="Times New Roman;Times;Serif"/>
          <w:b w:val="false"/>
          <w:i w:val="false"/>
          <w:caps w:val="false"/>
          <w:smallCaps w:val="false"/>
          <w:sz w:val="20"/>
        </w:rPr>
        <w:t>. Executive agrees to the non-solicitation terms set forth in the Non-Disclosure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Arbitration</w:t>
      </w:r>
      <w:r>
        <w:rPr>
          <w:rFonts w:ascii="Times New Roman;Times;Serif" w:hAnsi="Times New Roman;Times;Serif"/>
          <w:b w:val="false"/>
          <w:i w:val="false"/>
          <w:caps w:val="false"/>
          <w:smallCaps w:val="false"/>
          <w:sz w:val="20"/>
        </w:rPr>
        <w:t>. This Agreement shall be governed by, construed and enforced in accordance with the law of the State of Delaware. Any controversy or claim arising out of or relating to this Agreement, or breach of this Agreement is to be settled by arbitration in Delaware in accordance with the Employment Arbitration Rules of the American Arbitration Association, and judgment on the award rendered by the arbitrators may be entered in any court having jurisdiction. The provisions of this Section 10 shall specifically survive the termination of this Agreement.</w:t>
      </w:r>
    </w:p>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This Agreement, together with the Schedules and Non-Disclosure Agreement, sets forth the terms of Executive’s employment with the Company and supersedes any prior representations or agreements, whether written or oral. This Agreement may not be modified, amended and no provision may be waived, except by a written agreement, signed by the Company and by Executive</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be lessened or reduced to the extent possible or will be severed and will not affect any other provision and this Agreement will be reformed, construed and enforced in such jurisdiction as if such invalid, illegal or unenforceable provision had never been contained herein.</w:t>
            </w:r>
          </w:p>
        </w:tc>
      </w:tr>
    </w:tbl>
    <w:p>
      <w:pPr>
        <w:pStyle w:val="TextBody"/>
        <w:bidi w:val="0"/>
        <w:ind w:left="72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9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275" w:type="dxa"/>
            <w:tcBorders/>
            <w:vAlign w:val="center"/>
          </w:tcPr>
          <w:p>
            <w:pPr>
              <w:pStyle w:val="TableContents"/>
              <w:bidi w:val="0"/>
              <w:spacing w:before="0" w:after="283"/>
              <w:jc w:val="both"/>
              <w:rPr/>
            </w:pPr>
            <w:r>
              <w:rPr/>
              <w:t>This Agreement will be governed by Delaware law without reference to rules of conflicts of laws.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The waiver of any breach of any provision of this Agreement will not operate or be construed as a waiver of any subsequent breach of the same or other provision of this Agreement.</w:t>
            </w:r>
          </w:p>
        </w:tc>
      </w:tr>
    </w:tbl>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This Agreement will be binding on, and inure to the benefit of, the executors, administrators, heirs, successors, and assigns of the parties; provided, however, that except as expressly provided in this Agreement, this Agreement may not be assigned either by Company or by Executive.</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both"/>
              <w:rPr/>
            </w:pPr>
            <w:r>
              <w:rPr/>
              <w:t>This Agreement may be executed in several original or facsimile or digital copy counterparts and all so executed and transmitted will constitute one Agreement, binding on all the parties hereto even though all the parties are not signatories to the original or the same counterpart. Facsimile or digitally transmitted signatures will be deemed valid as though they were originals and the parties may perform any and all obligations and duties in reliance on the facsimile copies.</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No Inconsistent Obligations</w:t>
      </w:r>
      <w:r>
        <w:rPr>
          <w:rFonts w:ascii="Times New Roman;Times;Serif" w:hAnsi="Times New Roman;Times;Serif"/>
          <w:b w:val="false"/>
          <w:i w:val="false"/>
          <w:caps w:val="false"/>
          <w:smallCaps w:val="false"/>
          <w:sz w:val="20"/>
        </w:rPr>
        <w:t>. Executive is aware of no obligations, legal or otherwise, inconsistent with the terms of this Agreement or with his undertaking employment with the Company. The Executive represents and warrants that the execution of this Agreement by him and his performance of his obligations hereunder will not conflict with, result in the breach of any provision of or the termination of or constitute a default under any agreement to which the Executive is a party or by which the Executive is or may be bound. Executive will not disclose to the Company, or use, or induce the Company to use, any proprietary information or trade secrets of others.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Agreement containing express survival clauses as well as the provisions of this Agreement which are intended to apply, operate or have effect after the expiration or termination of the term of this Agreement, or at a time when the term of this Agreement may have expired or terminated, shall survive the expiration or termination of the term of this Agreement for any reason.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Assistance in Litigation</w:t>
      </w:r>
      <w:r>
        <w:rPr>
          <w:rFonts w:ascii="Times New Roman;Times;Serif" w:hAnsi="Times New Roman;Times;Serif"/>
          <w:b w:val="false"/>
          <w:i w:val="false"/>
          <w:caps w:val="false"/>
          <w:smallCaps w:val="false"/>
          <w:sz w:val="20"/>
        </w:rPr>
        <w:t>. Executive shall, during and after termination of employment, upon reasonable notice, furnish such information and proper assistance to the Company as may reasonably be required by the Company in connection with any litigation in which it or any of its subsidiaries or affiliates is, or may become a party; provided, however, that such assistance following termination shall be furnished at mutually agreeable times and for mutually agreeable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called for hereunder shall be in writing and shall be deemed given (i) on the date of delivery if delivered personally, (ii) one (1) day after being sent by a well established commercial overnight service, or (iii) upon confirmation of delivery when directed to the electronic mail address set forth below, if sent by electronic mail: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Ian Huen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ian.huen@aptorumgroup.com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Executive:</w:t>
      </w:r>
    </w:p>
    <w:p>
      <w:pPr>
        <w:pStyle w:val="TextBody"/>
        <w:bidi w:val="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Freeburg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Employment Agreement as of the date first written above.</w:t>
      </w:r>
    </w:p>
    <w:p>
      <w:pPr>
        <w:pStyle w:val="TextBody"/>
        <w:bidi w:val="0"/>
        <w:ind w:left="0" w:right="0" w:hanging="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1565"/>
        <w:gridCol w:w="60"/>
        <w:gridCol w:w="1280"/>
        <w:gridCol w:w="2015"/>
      </w:tblGrid>
      <w:tr>
        <w:trPr/>
        <w:tc>
          <w:tcPr>
            <w:tcW w:w="1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c>
          <w:tcPr>
            <w:tcW w:w="60" w:type="dxa"/>
            <w:tcBorders/>
            <w:vAlign w:val="center"/>
          </w:tcPr>
          <w:p>
            <w:pPr>
              <w:pStyle w:val="TableContents"/>
              <w:bidi w:val="0"/>
              <w:spacing w:before="0" w:after="283"/>
              <w:jc w:val="left"/>
              <w:rPr/>
            </w:pPr>
            <w:r>
              <w:rPr/>
              <w:t> </w:t>
            </w:r>
          </w:p>
        </w:tc>
        <w:tc>
          <w:tcPr>
            <w:tcW w:w="32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 xml:space="preserve">Niki biosolutions, inc.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15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Thomas Freeburg</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b/>
              </w:rPr>
            </w:pPr>
            <w:r>
              <w:rPr>
                <w:b/>
              </w:rPr>
              <w:t>Print Name:</w:t>
            </w:r>
          </w:p>
        </w:tc>
        <w:tc>
          <w:tcPr>
            <w:tcW w:w="2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Ian Huen</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Print Title: </w:t>
            </w:r>
          </w:p>
        </w:tc>
        <w:tc>
          <w:tcPr>
            <w:tcW w:w="2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Chief Executive Officer</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NON-DISCLOSURE, NON-SOLICITATION, AND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INTELLECTURAL PROPERTY ASSIGNMENT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Non-Disclosure, Non-Solicitation and Intellectual Property Assignment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September 1, 2026, is made by and between Niki BioSolutions,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whose mailing address is 116 Village Boulevard, Princeton, New Jersey 08540 and </w:t>
      </w:r>
      <w:r>
        <w:rPr>
          <w:rFonts w:ascii="Times New Roman;Times;Serif" w:hAnsi="Times New Roman;Times;Serif"/>
          <w:b/>
          <w:i w:val="false"/>
          <w:caps w:val="false"/>
          <w:smallCaps w:val="false"/>
          <w:sz w:val="20"/>
        </w:rPr>
        <w:t>Thomas Freeburg</w:t>
      </w:r>
      <w:r>
        <w:rPr>
          <w:rFonts w:ascii="Times New Roman;Times;Serif" w:hAnsi="Times New Roman;Times;Serif"/>
          <w:b w:val="false"/>
          <w:i w:val="false"/>
          <w:caps w:val="false"/>
          <w:smallCaps w:val="false"/>
          <w:sz w:val="20"/>
        </w:rPr>
        <w:t xml:space="preserve"> (the “Employee”), residing at XX.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 is commencing employment with the Company pursuant to that certain Employment Agreement executed by and between the Company and Employee on the date thereof (the “Employment Agreement”). Any terms not otherwise defined herein, shall have the meaning set forth in the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wishes to enter into this Non-Disclosure, Non-Solicitation and Intellectual Property Assignment Agreement (this “Agreement”) with Employee to protect the Company’s competitive position and to ensure the continued ownership and protection of the confidential and proprietary information of the Company and others with whom the Company does business and to avoid the solicitation by Employee of the Company’s customers, collaborators and other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 recognizes the Company’s need for this Agreement to protect the Company’s competitive position and to ensure the continued ownership and protection of the confidential and proprietary information of the Company, its Affiliates (as such term is defined below) and third parties, such as customers, collaborators, and partners;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condition of the Employment Agreement, Employee has agreed to the terms and conditions hereof and has agreed to enter into this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for the Company’s execution of the Employment Agreement and to provide Employee with Confidential Information (as such term is defined below), as well as other good and valuable consideration, the receipt and sufficiency of which are acknowledged, the parties hereto, intending to be legally bound, hereby agree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Scope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references in this Agreement regarding Employee’s duties and obligations to the Company (including, but not limited to, obligations related to confidentiality, work product, non-solicitation and noncompetition) include Employee’s obligation to the Company’s affiliated entities, which includes the Company’s parent and subsidiary corporations and business entities, if any, and any corporation or other business entity owned or controlled by the Company or under common ownership or control with the Company (each an “Affiliate” and collectively, the “Affiliates”). Employee also understands that if he is assigned to perform any work or duties with or for the Affiliates, this Agreement shall apply. The word “cessation” in this Agreement refers to the ending of Employee’s employment with the Company.</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Protection of Confidential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“Confidential Information” means information disclosed to Employee or known by Employee (including information conceived, originated, discovered, or developed in whole or in part by Employee), about the Company and/or the Company’s business, products, processes, and services, including but not limited to information relating to research, development, data, experimental work, innovations, ideas, improvements, concepts, inventions, computer programs, designs, engineering data, formulas, systems, intellectual property, sketches, blueprints, flow charts, technology, routines, algorithms, source and object codes, know-how, products and services under development, pricing and pricing strategies, business plans, marketing and selling strategies, servicing, purchasing, accounting, engineering, cost and costing strategies, sources of supply, information about customers and/or suppliers, information related to contracts, customer lists, customer requirements, techniques, business methods or practices, operations, financial information, business forecasts, information related to computer hardware, software, operating systems or the like, training and training programs, prospective business opportunities, and any other information the Company is under an obligation to keep confidential. The parties agree that the following shall not be considered Confidential Information subject to this Agreement: (i) information which prior to the time of disclosure by Company is in the public domain; (ii) information that, after disclosure by Company, becomes part of the public domain by publication or otherwise, provided that such publication is not in violation of this Agreement or any other confidentiality agreement; or (iii) information Employee is compelled to disclose by a court or other tribunal of competent jurisdiction, provided however, that in such case Employee shall immediately give notice to the Company to enable the Company to exercise its legal rights to prevent and/or limit such disclosure. In any event, Employee shall disclose only that portion of the Confidential Information that, in the opinion of the Company’s legal counsel, is legally required to be disclosed and will exercise reasonable efforts to ensure that any such information so disclosed will be accorded confidential treatment by said court or tribunal.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Employee acknowledges that all Confidential Information is, and for all times after the cessation of Employee’s employment shall remain, the property of the Company. Employee agrees that he shall not directly or indirectly use, disseminate or disclose any Confidential Information without having first obtained prior written permission from the Company, and to obtain such prior written permission whether during Employee’s employment or after termination of such employment, except as shall be necessary in the ordinary course of performing his duties as an employee of the Company in accordance with the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Employee shall comply with any additional policies, rules and procedures established by the Company from time to time for the protection of any Confidential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Ownership and Intellectual Property</w:t>
      </w:r>
      <w:r>
        <w:rPr>
          <w:rFonts w:ascii="Times New Roman;Times;Serif" w:hAnsi="Times New Roman;Times;Serif"/>
          <w:b/>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agrees that all Confidential Information that results from work performed by Employee for the Company shall be the sole and exclusive property of the Company or its nominees, including without limitation any and all Confidential Information that comprises an invention or discovery by Employee, or an invention or discovery to which Employee has made a contribution, and whether or not any such invention or discovery is patentable (“Inventions”). Employee will and hereby does assign to the Company all of Employee’s rights in and to each and every Invention upon its creation, including without limitation (a) patents, patent applications, and patent rights throughout the world; (b) rights associated with works of authorship throughout the world, including copyrights, copyright applications, copyright registrations, mask work rights, mask work applications and mask work registrations; (c) rights relating to the protection of trade secrets and confidential information throughout the world; (d) rights analogous to those set forth herein and any other proprietary rights relating to intangible property; and (e) divisions, continuations, renewals, reissues and extensions of the foregoing (as applicable) now existing or hereafter filed, issued or acquired (collectively, “IP Rights”). The Company and its nominees shall have the right to use and/or to apply for statutory or common law protections for such Inventions in any and all countries. Employee further agrees (i) to assist the Company in every proper way to obtain and from time to time to enforce such IP Rights relating to Inventions, and (ii) to execute and deliver to the Company or its nominee upon request all such documents as the Company or its nominee may determine are necessary or appropriate, including without limitation assignments of inventions. Such documents may be necessary to: (a) vest in the Company or its nominee clear and marketable title in and to Inventions, (b) apply for, prosecute and obtain patents, copyrights, mask works rights and other rights and protections relating to Inventions, or (c) enforce patents, copyrights, mask works rights and other rights and protections relating to Inventions. Employee’s obligations pursuant to this Section shall continue beyond the termination of Employee’s services for the Company, but the Company agrees to compensate Employee after the termination of such services at a reasonable rate for time actually spent or expenses incurred by Employee at the Company’s request.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Conflicts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represents and warrants that his employment or engagement by the Company and the execution and delivery of this Agreement and compliance with all the terms of this Agreement do not and will not breach any written or oral agreement Employee has entered into relating to intellectual property, noncompetition or otherwise. Employee shall not enter into any written or oral agreement in conflict with this Agreement. Moreover, without limiting the generality of the provisions of the Employment Agreement requiring him to devote full-time efforts to his duties under such Employment Agreement, during the period of Employee’s employment by the Company, Employee shall not, without the Company’s prior written consent, directly or indirectly, engage in any employment, consulting or activity (other than Employee’s employment with the Company) relating to any line of business in which the Company is now engaged, is engaged at such time or is considering, expects or plans to be engaged or which would otherwise conflict with his employment obligations to the Company. Further, Employee shall abide by any policy concerning conflicts of interest that the Company may from time to time have in effect.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keeping with Employee’s fiduciary duties to the Company, Employee agrees that while employed by the Company he shall not, acting alone or in conjunction with others, directly or indirectly, become involved in a conflict of interest or, upon discovery thereof, allow such a conflict to continue. Moreover, Employee agrees that he shall immediately disclose to the Company any facts which might involve any reasonable possibility of a conflict of interest. It is agreed that any direct or indirect interest, connection with, or benefit from any outside activities, where such interest might in any way adversely affect the Company, involves a possible conflict of interest. Circumstances in which a conflict of interest on the part of Employee might arise, and which must be reported immediately by Employee to the Company, include, but are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a material interest in any supplier, contractor, subcontractor, customer, or other entity with which the Company does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 any capacity, including director, officer, partner, consultant, employee, distributor, agent, or the like for a supplier, contractor, subcontractor, customer, or other entity with which the Company does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accepting, directly or indirectly, payment, service, or loans from a supplier, contractor, subcontractor, customer, or other entity with which the Employee does business, including, but not limited to, gifts, trips, entertainment, or other favors of more than a nominal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misuse of the Company’s information or facilities to which Employee has access in a manner that will be detrimental to the Employee’s interest, such as utilization for Employee’s own benefit of know-how, inventions, or information developed through the Employee’s business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or other misuse of information of any kind obtained through Employee’s connection with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by Employee or the diversion to others, directly or indirectly, of any business opportunity in which it is known or could reasonably be anticipated that the Company would be interested;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directly or indirectly, of a material interest in an enterprise in competition with the Company, or acting as an owner, director, principal, officer, partner, consultant, employee, agent, servant, or otherwise of any enterprise which is in competition with the Company.</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Non-Solicitation of Customers and Suppliers</w:t>
      </w:r>
      <w:r>
        <w:rPr>
          <w:rFonts w:ascii="Times New Roman;Times;Serif" w:hAnsi="Times New Roman;Times;Serif"/>
          <w:b w:val="false"/>
          <w:i w:val="false"/>
          <w:caps w:val="false"/>
          <w:smallCaps w:val="false"/>
          <w:sz w:val="20"/>
        </w:rPr>
        <w:t>. During the period of Employee’s employment with the Company and for twelve (12) months after cessation of his employment with the Company (the “Non-Solicit Period”), Employee shall not, directly or indirectly, alone or as a founder, partner, officer, director, employee, consultant, joint venturer, lender, stockholder or investor of any entity, divert or attempt to divert any person, concern or entity, which is furnished services by or furnishes services to the Company, from doing business with the Company or otherwise to change its relationship with the Company, or induce or attempt to induce any customer or supplier of, or joint venturer with, the Company to cease being a customer or supplier of, or joint venturer with, the Company or otherwise to change its relationship with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Non-Solicitation and Non-Hire of Employees</w:t>
      </w:r>
      <w:r>
        <w:rPr>
          <w:rFonts w:ascii="Times New Roman;Times;Serif" w:hAnsi="Times New Roman;Times;Serif"/>
          <w:b w:val="false"/>
          <w:i w:val="false"/>
          <w:caps w:val="false"/>
          <w:smallCaps w:val="false"/>
          <w:sz w:val="20"/>
        </w:rPr>
        <w:t>. During Employee’s employment with the Company and for twelve (12) months after cessation of his employment with the Company, Employee shall not, directly or indirectly, alone or as a founder, partner, officer, director, employee, consultant, joint venturer, lender, stockholder or investor of any entity, solicit or induce any employee or consultant of the Company to leave his or her service with the Company, or assist in any manner in the recruitment or hiring of any such person.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Non-Disparagemen</w:t>
      </w:r>
      <w:r>
        <w:rPr>
          <w:rFonts w:ascii="Times New Roman;Times;Serif" w:hAnsi="Times New Roman;Times;Serif"/>
          <w:b w:val="false"/>
          <w:i w:val="false"/>
          <w:caps w:val="false"/>
          <w:smallCaps w:val="false"/>
          <w:sz w:val="20"/>
        </w:rPr>
        <w:t>t. Employee, the Board and the Company agree not, at any time, whether during or after cessation of Employee’s employment with the Company, to make or publish any statement (orally or in writing) that libels, slanders, disparages or otherwise defaces the goodwill or reputation (whether or not such disparagement legally constitutes libel or slander) of the Company or the Employee (or any of its Affiliates, or its other officers, managers, directors, partners or investment professionals).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Competitive Protection</w:t>
      </w:r>
      <w:r>
        <w:rPr>
          <w:rFonts w:ascii="Times New Roman;Times;Serif" w:hAnsi="Times New Roman;Times;Serif"/>
          <w:b w:val="false"/>
          <w:i w:val="false"/>
          <w:caps w:val="false"/>
          <w:smallCaps w:val="false"/>
          <w:sz w:val="20"/>
        </w:rPr>
        <w:t>. Employee fully understands and realizes that the confidentiality, assignment and non-solicitation, and other terms and conditions of this Agreement shall bind and obligate Employee as described in this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Return of Materials</w:t>
      </w:r>
      <w:r>
        <w:rPr>
          <w:rFonts w:ascii="Times New Roman;Times;Serif" w:hAnsi="Times New Roman;Times;Serif"/>
          <w:b w:val="false"/>
          <w:i w:val="false"/>
          <w:caps w:val="false"/>
          <w:smallCaps w:val="false"/>
          <w:sz w:val="20"/>
        </w:rPr>
        <w:t>. All documents and other tangible objects containing or representing Confidential Information and all copies thereof which are in the possession of Employee shall be and remain the property of Company and shall be promptly returned to Company or destroyed by Employee upon the Employee’s termination and/or upon Company’s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Each Section and the subparts of each Section herein shall be treated as separate and independent clauses, and the unenforceability of any one clause shall in no way impair the enforceability of any of the other clauses of this Agreement. Moreover, if one or more of the clauses contained in this Agreement shall for any reason be held to be excessively broad as to scope, activity, subject or otherwise so as to be unenforceable at law, such clause or clauses shall be construed by the appropriate judicial body by limiting or reducing it or them, so as to be coextensive with the maximum restrictions enforceable by the applicable law as it shall then appear. The language of all parts of this Agreement shall in all cases be construed as a whole according to its fair meaning and not strictly for or against either of the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All obligations, duties, rights, remedies, express representations or other provisions required to give force and effect to this Agreement, or made in or given in this Agreement, which have accrued prior to cessation of Employee’s employment with the Company, shall survive the cessation of Employee’s employment with the Company and shall continue and remain in full force and effect in accordance with their respective terms, except where limited to the duration expressly stated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Binding Agreement; Entire Agreement; Assignment</w:t>
      </w:r>
      <w:r>
        <w:rPr>
          <w:rFonts w:ascii="Times New Roman;Times;Serif" w:hAnsi="Times New Roman;Times;Serif"/>
          <w:b w:val="false"/>
          <w:i w:val="false"/>
          <w:caps w:val="false"/>
          <w:smallCaps w:val="false"/>
          <w:sz w:val="20"/>
        </w:rPr>
        <w:t>. This Agreement shall be binding upon and inure to the benefit of and be enforceable by the respective successors, heirs (in the case of the Employee) and assigns of the parties hereto. This Agreement, along with the Employment Agreement and the schedules thereto between the Company and Employee expresses the entire agreement between the Company and Employee with respect to the subject matter hereof and supersedes any and all prior agreements, letters of intent and understandings between the parties, and any and all promises, statements, and representations made by either party to the other concerning the subject matter hereof and the terms applicable hereto, except for any existing confidentiality agreement between the parties. No rights or obligations of Employee under this Agreement may be assigned or transferred by Employee without the prior written consent of the Company, and any attempted assignment without such consent shall be null and void.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to the principles of conflict of laws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a party is required or may desire to give pursuant to this Agreement shall be given in writing in accordance with the requirements of Section 9 of the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Except as set forth herein, no delay or omission to exercise any right, power or remedy accruing to any party shall impair any such right, power or remedy or shall be construed to be a waiver of or an acquiescence to any breach hereof.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Employee and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Gender, Etc</w:t>
      </w:r>
      <w:r>
        <w:rPr>
          <w:rFonts w:ascii="Times New Roman;Times;Serif" w:hAnsi="Times New Roman;Times;Serif"/>
          <w:b w:val="false"/>
          <w:i w:val="false"/>
          <w:caps w:val="false"/>
          <w:smallCaps w:val="false"/>
          <w:sz w:val="20"/>
        </w:rPr>
        <w:t>. Words used herein, regardless of the number and gender specifically used, shall be deemed and construed to include any other number, singular or plural, and any other gender, masculine, feminine or neuter, as the context indicates is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u w:val="single"/>
        </w:rPr>
        <w:t>Amendments and Modifications</w:t>
      </w:r>
      <w:r>
        <w:rPr>
          <w:rFonts w:ascii="Times New Roman;Times;Serif" w:hAnsi="Times New Roman;Times;Serif"/>
          <w:b w:val="false"/>
          <w:i w:val="false"/>
          <w:caps w:val="false"/>
          <w:smallCaps w:val="false"/>
          <w:sz w:val="20"/>
        </w:rPr>
        <w:t>. This Agreement may not be amended or modified other than by an agreement in writing signed by both of the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of this Agreement are used for convenience only and shall not be deemed to constitute a part or to affect the meaning of this Agreement.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Non-Disclosure, Non-Solicitation and Intellectual Property Assignment Agreement as of the date first written above.</w:t>
      </w:r>
    </w:p>
    <w:p>
      <w:pPr>
        <w:pStyle w:val="TextBody"/>
        <w:bidi w:val="0"/>
        <w:jc w:val="center"/>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565"/>
        <w:gridCol w:w="60"/>
        <w:gridCol w:w="3500"/>
      </w:tblGrid>
      <w:tr>
        <w:trPr/>
        <w:tc>
          <w:tcPr>
            <w:tcW w:w="1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NIKI BIOSOLUTIONS, INC.</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15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Thomas Freeburg</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Ian Huen: Title: Chief Executive Officer</w:t>
            </w:r>
            <w:r>
              <w:rPr>
                <w:rFonts w:ascii="Times New Roman;Times;Serif" w:hAnsi="Times New Roman;Times;Serif"/>
                <w:sz w:val="20"/>
              </w:rPr>
              <w:t xml:space="preserve">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shall receive the following equity awards on the Commencement Date, pursuant to and governed by the Niki BioSolutions 2026 Equity Incentive Plan (the “Plan”), subject to the Employee’s continued employment except as otherwise provided in the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to purchase 50,000 Company common shares, with an exercise price of $8.83 per share, vesting in accordance with the following schedule:</w:t>
      </w:r>
    </w:p>
    <w:p>
      <w:pPr>
        <w:pStyle w:val="TextBody"/>
        <w:bidi w:val="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29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490" w:type="dxa"/>
            <w:tcBorders/>
            <w:vAlign w:val="center"/>
          </w:tcPr>
          <w:p>
            <w:pPr>
              <w:pStyle w:val="TableContents"/>
              <w:bidi w:val="0"/>
              <w:spacing w:before="0" w:after="283"/>
              <w:jc w:val="both"/>
              <w:rPr/>
            </w:pPr>
            <w:r>
              <w:rPr/>
              <w:t>15,000 Options vest upon the filing of the first full Annual Report post-merger.</w:t>
            </w:r>
          </w:p>
        </w:tc>
      </w:tr>
    </w:tbl>
    <w:p>
      <w:pPr>
        <w:pStyle w:val="TextBody"/>
        <w:bidi w:val="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9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570" w:type="dxa"/>
            <w:tcBorders/>
            <w:vAlign w:val="center"/>
          </w:tcPr>
          <w:p>
            <w:pPr>
              <w:pStyle w:val="TableContents"/>
              <w:bidi w:val="0"/>
              <w:spacing w:before="0" w:after="283"/>
              <w:jc w:val="both"/>
              <w:rPr/>
            </w:pPr>
            <w:r>
              <w:rPr/>
              <w:t>20,000 Options vesting Quarterly over the 8 Quarters following the Commencement Date.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(3)</w:t>
            </w:r>
          </w:p>
        </w:tc>
        <w:tc>
          <w:tcPr>
            <w:tcW w:w="9885" w:type="dxa"/>
            <w:tcBorders/>
            <w:vAlign w:val="center"/>
          </w:tcPr>
          <w:p>
            <w:pPr>
              <w:pStyle w:val="TableContents"/>
              <w:bidi w:val="0"/>
              <w:spacing w:before="0" w:after="283"/>
              <w:jc w:val="both"/>
              <w:rPr/>
            </w:pPr>
            <w:r>
              <w:rPr/>
              <w:t>15,000 Options vest upon the Company raising a total aggregate of $5,000,000 in cumulative Capital Investments.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terms set forth in the Company’s 2026 Stock Incentive Plan or any successor thereto, 25,000 additional Options shall be granted upon the Commencement Date with the exercise price of $8.83 and, along with any unvested Options, these 25,000 Options shall vest in full upon the occurrence of a Change in Control (as hereinafter defined). For purposes of vesting, “Change in Control” shall mean the sale of all or substantially all of the capital stock (other than the issuance by the Company of capital stock to one or more venture capitalists or other institutional investors pursuant to an equity financing (including a debt financing that is convertible into equity) of the Company approved by a majority of the Board of Directors of the Company, assets or business of the Company, by merger, consolidation, sale of assets or otherwise (other than a transaction in which all or substantially all of the individuals and entities who were beneficial owners of the capital stock of the Company immediately prior to such transaction beneficially own, directly or indirectly, more than 50% of the outstanding securities entitled to vote generally in the election of directors of the resulting, surviving or acquiring corporation in such transaction).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8048</Words>
  <Characters>44801</Characters>
  <CharactersWithSpaces>52861</CharactersWithSpaces>
  <Paragraphs>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