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8224-424b5_nikibio.htm"/>
      <w:bookmarkStart w:id="1" w:name="ksea0308224424b5_nikibio"/>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333-298608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Prospectus dated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$1,396,000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 a Delaware corporation (the “Company,” “Niki,” “we,” “our,” or “us”), has entered into an at-the-market issuance sales agreement, dated October 9, 2026 (the “Sales Agreement”) with H.C. Wainwright &amp; Co., LLC (“H.C. Wainwright &amp; Co., LLC,” “Wainwright” or “Selling Manager”) and Brookline Capital Markets, a division of Arcadia Securities, LLC (“Brookline,” and together with Wainwright, the “Managers” and, each, a “Manager”), relating to the shares of common stock offered by this prospectus supplement and the accompanying prospectus. In accordance with the terms of the Sales Agreement, we may from time to time offer and sell shares of common stock, par value $0.0001 per share (“Common Stock”), having an aggregate offering price of up to $1,396,000 through Wainwright, acting as our selling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accompanying prospectus, and is qualified by reference thereto, except to the extent that the information herein amends or supersedes the information contained in the accompanying prospectus. This prospectus supplement is not complete without, and may only be delivered or utilized in connection with, the accompanying prospectus, and any future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“NIKI.” The last reported sale price of our Common Stock on October 8, 2026 was $4.23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8, 2026, the aggregate market value of our outstanding Common Stock held by non-affiliates was approximately $10.2 million, which was calculated based on 2,938,625 shares of Common Stock outstanding, of which 1,063,705 shares were held by non-affiliates, and a price per share of $9.58 based upon the closing price of our Common Stock on The Nasdaq Capital Market on August 12, 2026. We have sold $2,000,000 of securities pursuant to General Instruction I.B.6 of Form S-3 during the prior 12-calendar month period that ends on and includes the date of this prospectus supplement (excluding this offering). Accordingly, based on the foregoing, we are currently eligible under General Instruction I.B.6 of Form S-3 to offer and sell Common Stock having an aggregate offering price of up to approximately $1,396,000. Pursuant to General Instruction I.B.6 of Form S-3, in no event will we sell securities registered on the registration statement, of which this prospectus supplement is a part, in a public primary offering with a value exceeding more than one-third of our public float in any 12-month period so long as our public float remains below $75.0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supplement and the accompanying prospectus will be made in sales deemed to be “at the market” equity offerings as defined in Rule 415(a)(4) promulgated under the Securities Act of 1933, as amended (the “Securities Act”), including sales made directly on or through The Nasdaq Capital Market, the existing trading market for our Common Stock, or any other existing trading market for our Common Stock, sales made to or through a market maker other than on an exchange or otherwise, in negotiated transactions at market prices prevailing at the time of sale or at prices related to such prevailing market prices and/or any other method permitted by law, including in privately negotiated transactions. The Selling Manager is not required to sell any specific number or dollar amount of securities, but will act as a Selling Manager using commercially reasonable efforts consistent with its normal trading and sales practices on mutually agreed terms between the Selling Manager and us. There is no arrangement for funds to be received in any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for sales of Common Stock sold pursuant to the Sales Agreement will be an amount of 3.0% of the gross proceeds of any Common Stock sold under the Sales Agreement. In connection with the sale of the Common Stock on our behalf, the Managers will be deemed to be an “underwriter” within the meaning of the Securities Act and the compensation paid to the Managers will be deemed to be underwriting commissions or discounts. We have also agreed to provide indemnification and contribution to each of the Managers with respect to certain liabilities, including liabilities under the Securities Act and the Securities Exchange Act of 1934, as amended (the “Exchange Act”). See section titled “Plan of Distribution (Conflicts of Interest)” on page S-19 of this prospectus supplement for additional information regarding the compensation to be paid to the Managers.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State of Delaware with no material operations of our own, other than through our wholly owned subsidiary DiamiR Biosciences, Corp., a Delaware corporation (“DiamiR”). Through our direct and indirectly wholly owned subsidiaries, we conduct a significant portion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our operations and/or a material change in the value of our securities, including that such event could cause the value of such securities to significantly decline or become worthless. Investing in our common stock involves a high degree of risk, including the risk of losing your entire investment. We do not own substantial assets or conduct substantial operations in the People’s Republic of China (the “PRC”), but our principal business operations are conducted in Hong Kong and therefore we are considered a China-based issuer and are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our common stock, which would materially affect the interest of the investors.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applicable to the Company regarding operations in Hong Kong,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7 of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common stock.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common stock, to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are into the Delaware holding company, not Libra, and you may never own any equity in Libra or any other subsidiary. Therefore, we do not believe that we are required to obtain approval or clearance from the CSRC as the listing of our common stock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common stock, cause significant disruption to our business operations, and severely damage our reputation, which would materially and adversely affect our financial condition and results of operations and cause our common stock to significantly decline in value or become worthless. For a detailed description of the risks related to doing business in the PRC, and the offering, see “Risk Factors — Risks Related to Our Corporate Structure” and “Risk Factors — Risks Relating to Doing Business in Hong Kong” in the accompanying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through September 16, 2026, we have transferred the noted amount to the referenced subsidiary:</w:t>
      </w:r>
    </w:p>
    <w:p>
      <w:pPr>
        <w:pStyle w:val="TextBody"/>
        <w:bidi w:val="0"/>
        <w:spacing w:before="0" w:after="0"/>
        <w:ind w:left="0" w:right="0" w:firstLine="72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64,309,272.68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Medical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1,673,592.92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17,635,261.58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5,218,255.31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Claves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Signate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finance department is responsible for establishing the cash management policies and procedures among our departments and the operating entities. Majority of the cash are managed by us.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prospectus, neither we nor any of our subsidiaries have ever paid dividends or made distributions to U.S. investors any return on investment may be limited to the value of our common stock. We plan to retain any future earnings to finance growth. Save as disclosed, there were no other transfers, dividends or distributions which have been made between our holding company, our subsidiaries or to our investors. If we determine to pay dividends on any of our common stock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prospectus, neither Libra nor any of our subsidiaries nor investments have ever issued any dividends or distributions to us or their respective shareholders outside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tbl>
      <w:tblPr>
        <w:tblW w:w="7218" w:type="dxa"/>
        <w:jc w:val="left"/>
        <w:tblInd w:w="0" w:type="dxa"/>
        <w:tblLayout w:type="fixed"/>
        <w:tblCellMar>
          <w:top w:w="0" w:type="dxa"/>
          <w:left w:w="0" w:type="dxa"/>
          <w:bottom w:w="0" w:type="dxa"/>
          <w:right w:w="0" w:type="dxa"/>
        </w:tblCellMar>
      </w:tblPr>
      <w:tblGrid>
        <w:gridCol w:w="38"/>
        <w:gridCol w:w="125"/>
        <w:gridCol w:w="705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1</w:t>
            </w:r>
          </w:p>
        </w:tc>
        <w:tc>
          <w:tcPr>
            <w:tcW w:w="7055" w:type="dxa"/>
            <w:tcBorders/>
            <w:vAlign w:val="center"/>
          </w:tcPr>
          <w:p>
            <w:pPr>
              <w:pStyle w:val="TableContents"/>
              <w:bidi w:val="0"/>
              <w:spacing w:before="0" w:after="283"/>
              <w:jc w:val="both"/>
              <w:rPr/>
            </w:pPr>
            <w:r>
              <w:rPr/>
              <w:t>This entity has been struck off the Cayman Islands’ registry and dissolved.</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“Risk Factors — 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 in the accompanying prospectus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enforcement of PRC laws and regulations could limit the legal protection available to you and us, hinder our ability to offer or continue to offer the common stock, result in a material adverse effect on our business operations, and damage our reputation, which might further cause the common stock to significantly decline in value or become worthless. See “Risk Factors — Risks Related to Doing Business in Hong Kong,” on page S-47 of the accompanying prospectus and the sections “About Niki” and “Permission Required from the PRC Authorities” in the in the Prospectus Supplement 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Investing in our securities involves a high degree of risk. You should review carefully the risks and uncertainties described under the heading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on page S-9 of this prospectus supplement, the accompanying prospectus, in the accompanying prospectus, and in the other documents that are incorporated by reference into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and the accompanying prospectus are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6"/>
        <w:gridCol w:w="7289"/>
      </w:tblGrid>
      <w:tr>
        <w:trPr/>
        <w:tc>
          <w:tcPr>
            <w:tcW w:w="2916" w:type="dxa"/>
            <w:tcBorders/>
            <w:vAlign w:val="center"/>
          </w:tcPr>
          <w:p>
            <w:pPr>
              <w:pStyle w:val="TableContents"/>
              <w:bidi w:val="0"/>
              <w:spacing w:before="0" w:after="283"/>
              <w:jc w:val="left"/>
              <w:rPr>
                <w:b/>
                <w:sz w:val="32"/>
              </w:rPr>
            </w:pPr>
            <w:r>
              <w:rPr>
                <w:b/>
                <w:sz w:val="32"/>
              </w:rPr>
              <w:t>H.C. Wainwright &amp; Co.</w:t>
            </w:r>
          </w:p>
        </w:tc>
        <w:tc>
          <w:tcPr>
            <w:tcW w:w="7289" w:type="dxa"/>
            <w:tcBorders/>
            <w:vAlign w:val="center"/>
          </w:tcPr>
          <w:p>
            <w:pPr>
              <w:pStyle w:val="TableContents"/>
              <w:bidi w:val="0"/>
              <w:spacing w:before="0" w:after="283"/>
              <w:jc w:val="right"/>
              <w:rPr>
                <w:b/>
                <w:sz w:val="32"/>
              </w:rPr>
            </w:pPr>
            <w:r>
              <w:rPr>
                <w:b/>
                <w:sz w:val="32"/>
              </w:rPr>
              <w:t>Brookline Capital Markets, a division of Arcadia Securities,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date of this prospectus supplement is October 9,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6245"/>
        <w:gridCol w:w="60"/>
        <w:gridCol w:w="500"/>
      </w:tblGrid>
      <w:tr>
        <w:trPr/>
        <w:tc>
          <w:tcPr>
            <w:tcW w:w="6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Page</w:t>
            </w:r>
            <w:r>
              <w:rPr>
                <w:rFonts w:ascii="Times New Roman;Times;Serif" w:hAnsi="Times New Roman;Times;Serif"/>
                <w:sz w:val="20"/>
              </w:rPr>
              <w:t> </w:t>
            </w:r>
          </w:p>
        </w:tc>
      </w:tr>
      <w:tr>
        <w:trPr/>
        <w:tc>
          <w:tcPr>
            <w:tcW w:w="6245" w:type="dxa"/>
            <w:tcBorders/>
            <w:shd w:fill="CCEEFF" w:val="clear"/>
            <w:vAlign w:val="center"/>
          </w:tcPr>
          <w:p>
            <w:pPr>
              <w:pStyle w:val="TableContents"/>
              <w:bidi w:val="0"/>
              <w:spacing w:before="0" w:after="283"/>
              <w:jc w:val="left"/>
              <w:rPr/>
            </w:pPr>
            <w:hyperlink w:anchor="S_1">
              <w:r>
                <w:rPr>
                  <w:rStyle w:val="InternetLink"/>
                  <w:rFonts w:ascii="Times New Roman;Times;Serif" w:hAnsi="Times New Roman;Times;Serif"/>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pPr>
            <w:r>
              <w:rPr/>
              <w:t>S-</w:t>
            </w:r>
            <w:r>
              <w:rPr>
                <w:rFonts w:ascii="Times New Roman;Times;Serif" w:hAnsi="Times New Roman;Times;Serif"/>
                <w:sz w:val="20"/>
              </w:rPr>
              <w:t>ii</w:t>
            </w:r>
          </w:p>
        </w:tc>
      </w:tr>
      <w:tr>
        <w:trPr/>
        <w:tc>
          <w:tcPr>
            <w:tcW w:w="6245" w:type="dxa"/>
            <w:tcBorders/>
            <w:shd w:fill="FFFFFF" w:val="clear"/>
            <w:vAlign w:val="center"/>
          </w:tcPr>
          <w:p>
            <w:pPr>
              <w:pStyle w:val="TableContents"/>
              <w:bidi w:val="0"/>
              <w:spacing w:before="0" w:after="283"/>
              <w:jc w:val="left"/>
              <w:rPr/>
            </w:pPr>
            <w:hyperlink w:anchor="S_2">
              <w:r>
                <w:rPr>
                  <w:rStyle w:val="InternetLink"/>
                  <w:rFonts w:ascii="Times New Roman;Times;Serif" w:hAnsi="Times New Roman;Times;Serif"/>
                  <w:sz w:val="20"/>
                </w:rPr>
                <w:t>PROSPECTUS SUPPLEMENT SUMMARY</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w:t>
            </w:r>
          </w:p>
        </w:tc>
      </w:tr>
      <w:tr>
        <w:trPr/>
        <w:tc>
          <w:tcPr>
            <w:tcW w:w="6245" w:type="dxa"/>
            <w:tcBorders/>
            <w:shd w:fill="CCEEFF" w:val="clear"/>
            <w:vAlign w:val="center"/>
          </w:tcPr>
          <w:p>
            <w:pPr>
              <w:pStyle w:val="TableContents"/>
              <w:bidi w:val="0"/>
              <w:spacing w:before="0" w:after="283"/>
              <w:jc w:val="left"/>
              <w:rPr/>
            </w:pPr>
            <w:hyperlink w:anchor="S_3">
              <w:r>
                <w:rPr>
                  <w:rStyle w:val="InternetLink"/>
                  <w:rFonts w:ascii="Times New Roman;Times;Serif" w:hAnsi="Times New Roman;Times;Serif"/>
                  <w:sz w:val="20"/>
                </w:rPr>
                <w:t>THE OFFERING</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S-8</w:t>
            </w:r>
          </w:p>
        </w:tc>
      </w:tr>
      <w:tr>
        <w:trPr/>
        <w:tc>
          <w:tcPr>
            <w:tcW w:w="6245" w:type="dxa"/>
            <w:tcBorders/>
            <w:shd w:fill="FFFFFF" w:val="clear"/>
            <w:vAlign w:val="center"/>
          </w:tcPr>
          <w:p>
            <w:pPr>
              <w:pStyle w:val="TableContents"/>
              <w:bidi w:val="0"/>
              <w:spacing w:before="0" w:after="283"/>
              <w:jc w:val="left"/>
              <w:rPr/>
            </w:pPr>
            <w:hyperlink w:anchor="S_4">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S-9</w:t>
            </w:r>
          </w:p>
        </w:tc>
      </w:tr>
      <w:tr>
        <w:trPr/>
        <w:tc>
          <w:tcPr>
            <w:tcW w:w="6245" w:type="dxa"/>
            <w:tcBorders/>
            <w:shd w:fill="CCEEFF" w:val="clear"/>
            <w:vAlign w:val="center"/>
          </w:tcPr>
          <w:p>
            <w:pPr>
              <w:pStyle w:val="TableContents"/>
              <w:bidi w:val="0"/>
              <w:spacing w:before="0" w:after="283"/>
              <w:jc w:val="left"/>
              <w:rPr/>
            </w:pPr>
            <w:hyperlink w:anchor="S_5">
              <w:r>
                <w:rPr>
                  <w:rStyle w:val="InternetLink"/>
                  <w:rFonts w:ascii="Times New Roman;Times;Serif" w:hAnsi="Times New Roman;Times;Serif"/>
                  <w:sz w:val="20"/>
                </w:rPr>
                <w:t>CAUTIONARY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S-12</w:t>
            </w:r>
          </w:p>
        </w:tc>
      </w:tr>
      <w:tr>
        <w:trPr/>
        <w:tc>
          <w:tcPr>
            <w:tcW w:w="6245" w:type="dxa"/>
            <w:tcBorders/>
            <w:shd w:fill="FFFFFF" w:val="clear"/>
            <w:vAlign w:val="center"/>
          </w:tcPr>
          <w:p>
            <w:pPr>
              <w:pStyle w:val="TableContents"/>
              <w:bidi w:val="0"/>
              <w:spacing w:before="0" w:after="283"/>
              <w:jc w:val="left"/>
              <w:rPr/>
            </w:pPr>
            <w:hyperlink w:anchor="S_6">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S-13</w:t>
            </w:r>
          </w:p>
        </w:tc>
      </w:tr>
      <w:tr>
        <w:trPr/>
        <w:tc>
          <w:tcPr>
            <w:tcW w:w="6245" w:type="dxa"/>
            <w:tcBorders/>
            <w:shd w:fill="CCEEFF" w:val="clear"/>
            <w:vAlign w:val="center"/>
          </w:tcPr>
          <w:p>
            <w:pPr>
              <w:pStyle w:val="TableContents"/>
              <w:bidi w:val="0"/>
              <w:spacing w:before="0" w:after="283"/>
              <w:jc w:val="left"/>
              <w:rPr/>
            </w:pPr>
            <w:hyperlink w:anchor="S_7">
              <w:r>
                <w:rPr>
                  <w:rStyle w:val="InternetLink"/>
                  <w:rFonts w:ascii="Times New Roman;Times;Serif" w:hAnsi="Times New Roman;Times;Serif"/>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S-14</w:t>
            </w:r>
          </w:p>
        </w:tc>
      </w:tr>
      <w:tr>
        <w:trPr/>
        <w:tc>
          <w:tcPr>
            <w:tcW w:w="6245" w:type="dxa"/>
            <w:tcBorders/>
            <w:shd w:fill="FFFFFF" w:val="clear"/>
            <w:vAlign w:val="center"/>
          </w:tcPr>
          <w:p>
            <w:pPr>
              <w:pStyle w:val="TableContents"/>
              <w:bidi w:val="0"/>
              <w:spacing w:before="0" w:after="283"/>
              <w:jc w:val="left"/>
              <w:rPr/>
            </w:pPr>
            <w:hyperlink w:anchor="S_8">
              <w:r>
                <w:rPr>
                  <w:rStyle w:val="InternetLink"/>
                  <w:rFonts w:ascii="Times New Roman;Times;Serif" w:hAnsi="Times New Roman;Times;Serif"/>
                  <w:sz w:val="20"/>
                </w:rPr>
                <w:t>DESCRIPTION OF THE SECURITIES WE ARE OFFERING</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S-15</w:t>
            </w:r>
          </w:p>
        </w:tc>
      </w:tr>
      <w:tr>
        <w:trPr/>
        <w:tc>
          <w:tcPr>
            <w:tcW w:w="6245" w:type="dxa"/>
            <w:tcBorders/>
            <w:shd w:fill="CCEEFF" w:val="clear"/>
            <w:vAlign w:val="center"/>
          </w:tcPr>
          <w:p>
            <w:pPr>
              <w:pStyle w:val="TableContents"/>
              <w:bidi w:val="0"/>
              <w:spacing w:before="0" w:after="283"/>
              <w:jc w:val="left"/>
              <w:rPr/>
            </w:pPr>
            <w:hyperlink w:anchor="S_9">
              <w:r>
                <w:rPr>
                  <w:rStyle w:val="InternetLink"/>
                  <w:rFonts w:ascii="Times New Roman;Times;Serif" w:hAnsi="Times New Roman;Times;Serif"/>
                  <w:sz w:val="20"/>
                </w:rPr>
                <w:t>PLAN OF DISTRIBUTION (CONFLICTS OF INTEREST)</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S-19</w:t>
            </w:r>
          </w:p>
        </w:tc>
      </w:tr>
      <w:tr>
        <w:trPr/>
        <w:tc>
          <w:tcPr>
            <w:tcW w:w="6245" w:type="dxa"/>
            <w:tcBorders/>
            <w:shd w:fill="FFFFFF" w:val="clear"/>
            <w:vAlign w:val="center"/>
          </w:tcPr>
          <w:p>
            <w:pPr>
              <w:pStyle w:val="TableContents"/>
              <w:bidi w:val="0"/>
              <w:spacing w:before="0" w:after="283"/>
              <w:jc w:val="left"/>
              <w:rPr/>
            </w:pPr>
            <w:hyperlink w:anchor="S_10">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S-21</w:t>
            </w:r>
          </w:p>
        </w:tc>
      </w:tr>
      <w:tr>
        <w:trPr/>
        <w:tc>
          <w:tcPr>
            <w:tcW w:w="6245" w:type="dxa"/>
            <w:tcBorders/>
            <w:shd w:fill="CCEEFF" w:val="clear"/>
            <w:vAlign w:val="center"/>
          </w:tcPr>
          <w:p>
            <w:pPr>
              <w:pStyle w:val="TableContents"/>
              <w:bidi w:val="0"/>
              <w:spacing w:before="0" w:after="283"/>
              <w:jc w:val="left"/>
              <w:rPr/>
            </w:pPr>
            <w:hyperlink w:anchor="S_11">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S-21</w:t>
            </w:r>
          </w:p>
        </w:tc>
      </w:tr>
      <w:tr>
        <w:trPr/>
        <w:tc>
          <w:tcPr>
            <w:tcW w:w="6245" w:type="dxa"/>
            <w:tcBorders/>
            <w:shd w:fill="FFFFFF" w:val="clear"/>
            <w:vAlign w:val="center"/>
          </w:tcPr>
          <w:p>
            <w:pPr>
              <w:pStyle w:val="TableContents"/>
              <w:bidi w:val="0"/>
              <w:spacing w:before="0" w:after="283"/>
              <w:jc w:val="left"/>
              <w:rPr/>
            </w:pPr>
            <w:hyperlink w:anchor="S_12">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S-21</w:t>
            </w:r>
          </w:p>
        </w:tc>
      </w:tr>
      <w:tr>
        <w:trPr/>
        <w:tc>
          <w:tcPr>
            <w:tcW w:w="6245" w:type="dxa"/>
            <w:tcBorders/>
            <w:shd w:fill="CCEEFF" w:val="clear"/>
            <w:vAlign w:val="center"/>
          </w:tcPr>
          <w:p>
            <w:pPr>
              <w:pStyle w:val="TableContents"/>
              <w:bidi w:val="0"/>
              <w:spacing w:before="0" w:after="283"/>
              <w:jc w:val="left"/>
              <w:rPr/>
            </w:pPr>
            <w:hyperlink w:anchor="S_13">
              <w:r>
                <w:rPr>
                  <w:rStyle w:val="InternetLink"/>
                  <w:rFonts w:ascii="Times New Roman;Times;Serif" w:hAnsi="Times New Roman;Times;Serif"/>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890"/>
        <w:gridCol w:w="530"/>
      </w:tblGrid>
      <w:tr>
        <w:trPr/>
        <w:tc>
          <w:tcPr>
            <w:tcW w:w="68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8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hyperlink w:anchor="a_002">
              <w:r>
                <w:rPr>
                  <w:rStyle w:val="InternetLink"/>
                  <w:sz w:val="20"/>
                </w:rPr>
                <w:t>CAUTIONARY STATEMENT REGARDING FORWARD-LOOKING STATEMENTS</w:t>
              </w:r>
            </w:hyperlink>
          </w:p>
        </w:tc>
        <w:tc>
          <w:tcPr>
            <w:tcW w:w="530" w:type="dxa"/>
            <w:tcBorders/>
            <w:shd w:fill="FFFFFF" w:val="clear"/>
            <w:vAlign w:val="center"/>
          </w:tcPr>
          <w:p>
            <w:pPr>
              <w:pStyle w:val="TableContents"/>
              <w:bidi w:val="0"/>
              <w:spacing w:before="0" w:after="283"/>
              <w:jc w:val="center"/>
              <w:rPr/>
            </w:pPr>
            <w:r>
              <w:rPr/>
              <w:t>iii</w:t>
            </w:r>
          </w:p>
        </w:tc>
      </w:tr>
      <w:tr>
        <w:trPr/>
        <w:tc>
          <w:tcPr>
            <w:tcW w:w="6890" w:type="dxa"/>
            <w:tcBorders/>
            <w:shd w:fill="CCEEFF" w:val="clear"/>
            <w:vAlign w:val="center"/>
          </w:tcPr>
          <w:p>
            <w:pPr>
              <w:pStyle w:val="TableContents"/>
              <w:bidi w:val="0"/>
              <w:spacing w:before="0" w:after="283"/>
              <w:jc w:val="left"/>
              <w:rPr/>
            </w:pPr>
            <w:hyperlink w:anchor="a_003">
              <w:r>
                <w:rPr>
                  <w:rStyle w:val="InternetLink"/>
                  <w:sz w:val="20"/>
                </w:rPr>
                <w:t>ABOUT NIKI</w:t>
              </w:r>
            </w:hyperlink>
          </w:p>
        </w:tc>
        <w:tc>
          <w:tcPr>
            <w:tcW w:w="530"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hyperlink w:anchor="a_004">
              <w:r>
                <w:rPr>
                  <w:rStyle w:val="InternetLink"/>
                  <w:sz w:val="20"/>
                </w:rPr>
                <w:t>RISK FACTORS</w:t>
              </w:r>
            </w:hyperlink>
          </w:p>
        </w:tc>
        <w:tc>
          <w:tcPr>
            <w:tcW w:w="530" w:type="dxa"/>
            <w:tcBorders/>
            <w:shd w:fill="FFFFFF" w:val="clear"/>
            <w:vAlign w:val="center"/>
          </w:tcPr>
          <w:p>
            <w:pPr>
              <w:pStyle w:val="TableContents"/>
              <w:bidi w:val="0"/>
              <w:spacing w:before="0" w:after="283"/>
              <w:jc w:val="center"/>
              <w:rPr/>
            </w:pPr>
            <w:r>
              <w:rPr/>
              <w:t>7</w:t>
            </w:r>
          </w:p>
        </w:tc>
      </w:tr>
      <w:tr>
        <w:trPr/>
        <w:tc>
          <w:tcPr>
            <w:tcW w:w="6890"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hyperlink w:anchor="a_006">
              <w:r>
                <w:rPr>
                  <w:rStyle w:val="InternetLink"/>
                  <w:sz w:val="20"/>
                </w:rPr>
                <w:t>DILUTION</w:t>
              </w:r>
            </w:hyperlink>
          </w:p>
        </w:tc>
        <w:tc>
          <w:tcPr>
            <w:tcW w:w="530" w:type="dxa"/>
            <w:tcBorders/>
            <w:shd w:fill="FFFFFF" w:val="clear"/>
            <w:vAlign w:val="center"/>
          </w:tcPr>
          <w:p>
            <w:pPr>
              <w:pStyle w:val="TableContents"/>
              <w:bidi w:val="0"/>
              <w:spacing w:before="0" w:after="283"/>
              <w:jc w:val="center"/>
              <w:rPr/>
            </w:pPr>
            <w:r>
              <w:rPr/>
              <w:t>79</w:t>
            </w:r>
          </w:p>
        </w:tc>
      </w:tr>
      <w:tr>
        <w:trPr/>
        <w:tc>
          <w:tcPr>
            <w:tcW w:w="6890" w:type="dxa"/>
            <w:tcBorders/>
            <w:shd w:fill="CCEEFF" w:val="clear"/>
            <w:vAlign w:val="center"/>
          </w:tcPr>
          <w:p>
            <w:pPr>
              <w:pStyle w:val="TableContents"/>
              <w:bidi w:val="0"/>
              <w:spacing w:before="0" w:after="283"/>
              <w:jc w:val="left"/>
              <w:rPr/>
            </w:pPr>
            <w:hyperlink w:anchor="a_007">
              <w:r>
                <w:rPr>
                  <w:rStyle w:val="InternetLink"/>
                  <w:sz w:val="20"/>
                </w:rPr>
                <w:t xml:space="preserve">DESCRIPTION OF SECURITIES </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hyperlink w:anchor="a_008">
              <w:r>
                <w:rPr>
                  <w:rStyle w:val="InternetLink"/>
                  <w:sz w:val="20"/>
                </w:rPr>
                <w:t>PLAN OF DISTRIBUTION</w:t>
              </w:r>
            </w:hyperlink>
          </w:p>
        </w:tc>
        <w:tc>
          <w:tcPr>
            <w:tcW w:w="530" w:type="dxa"/>
            <w:tcBorders/>
            <w:shd w:fill="FFFFFF" w:val="clear"/>
            <w:vAlign w:val="center"/>
          </w:tcPr>
          <w:p>
            <w:pPr>
              <w:pStyle w:val="TableContents"/>
              <w:bidi w:val="0"/>
              <w:spacing w:before="0" w:after="283"/>
              <w:jc w:val="center"/>
              <w:rPr/>
            </w:pPr>
            <w:r>
              <w:rPr/>
              <w:t>95</w:t>
            </w:r>
          </w:p>
        </w:tc>
      </w:tr>
      <w:tr>
        <w:trPr/>
        <w:tc>
          <w:tcPr>
            <w:tcW w:w="6890" w:type="dxa"/>
            <w:tcBorders/>
            <w:shd w:fill="CCEEFF" w:val="clear"/>
            <w:vAlign w:val="center"/>
          </w:tcPr>
          <w:p>
            <w:pPr>
              <w:pStyle w:val="TableContents"/>
              <w:bidi w:val="0"/>
              <w:spacing w:before="0" w:after="283"/>
              <w:jc w:val="left"/>
              <w:rPr/>
            </w:pPr>
            <w:hyperlink w:anchor="a_009">
              <w:r>
                <w:rPr>
                  <w:rStyle w:val="InternetLink"/>
                  <w:sz w:val="20"/>
                </w:rPr>
                <w:t>LEGAL MATTERS</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hyperlink w:anchor="a_010">
              <w:r>
                <w:rPr>
                  <w:rStyle w:val="InternetLink"/>
                  <w:sz w:val="20"/>
                </w:rPr>
                <w:t>EXPERTS</w:t>
              </w:r>
            </w:hyperlink>
          </w:p>
        </w:tc>
        <w:tc>
          <w:tcPr>
            <w:tcW w:w="530" w:type="dxa"/>
            <w:tcBorders/>
            <w:shd w:fill="FFFFFF" w:val="clear"/>
            <w:vAlign w:val="center"/>
          </w:tcPr>
          <w:p>
            <w:pPr>
              <w:pStyle w:val="TableContents"/>
              <w:bidi w:val="0"/>
              <w:spacing w:before="0" w:after="283"/>
              <w:jc w:val="center"/>
              <w:rPr/>
            </w:pPr>
            <w:r>
              <w:rPr/>
              <w:t>97</w:t>
            </w:r>
          </w:p>
        </w:tc>
      </w:tr>
      <w:tr>
        <w:trPr/>
        <w:tc>
          <w:tcPr>
            <w:tcW w:w="6890" w:type="dxa"/>
            <w:tcBorders/>
            <w:shd w:fill="CCEEFF" w:val="clear"/>
            <w:vAlign w:val="center"/>
          </w:tcPr>
          <w:p>
            <w:pPr>
              <w:pStyle w:val="TableContents"/>
              <w:bidi w:val="0"/>
              <w:spacing w:before="0" w:after="283"/>
              <w:jc w:val="left"/>
              <w:rPr/>
            </w:pPr>
            <w:hyperlink w:anchor="a_011">
              <w:r>
                <w:rPr>
                  <w:rStyle w:val="InternetLink"/>
                  <w:sz w:val="20"/>
                </w:rPr>
                <w:t>WHERE YOU CAN FIND MORE INFORMATION</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hyperlink w:anchor="a_012">
              <w:r>
                <w:rPr>
                  <w:rStyle w:val="InternetLink"/>
                  <w:sz w:val="20"/>
                </w:rPr>
                <w:t>INCORPORATION OF CERTAIN DOCUMENTS BY REFERENCE</w:t>
              </w:r>
            </w:hyperlink>
          </w:p>
        </w:tc>
        <w:tc>
          <w:tcPr>
            <w:tcW w:w="530" w:type="dxa"/>
            <w:tcBorders/>
            <w:shd w:fill="FFFFFF" w:val="clear"/>
            <w:vAlign w:val="center"/>
          </w:tcPr>
          <w:p>
            <w:pPr>
              <w:pStyle w:val="TableContents"/>
              <w:bidi w:val="0"/>
              <w:spacing w:before="0" w:after="283"/>
              <w:jc w:val="center"/>
              <w:rPr/>
            </w:pPr>
            <w:r>
              <w:rPr/>
              <w:t>98</w:t>
            </w:r>
          </w:p>
        </w:tc>
      </w:tr>
      <w:tr>
        <w:trPr/>
        <w:tc>
          <w:tcPr>
            <w:tcW w:w="6890" w:type="dxa"/>
            <w:tcBorders/>
            <w:shd w:fill="CCEEFF" w:val="clear"/>
            <w:vAlign w:val="center"/>
          </w:tcPr>
          <w:p>
            <w:pPr>
              <w:pStyle w:val="TableContents"/>
              <w:bidi w:val="0"/>
              <w:spacing w:before="0" w:after="283"/>
              <w:jc w:val="left"/>
              <w:rPr/>
            </w:pPr>
            <w:hyperlink w:anchor="a_014">
              <w:r>
                <w:rPr>
                  <w:rStyle w:val="InternetLink"/>
                </w:rPr>
                <w:t>INDEX TO FINANCIAL STATEMENTS</w:t>
              </w:r>
            </w:hyperlink>
          </w:p>
        </w:tc>
        <w:tc>
          <w:tcPr>
            <w:tcW w:w="530" w:type="dxa"/>
            <w:tcBorders/>
            <w:shd w:fill="CCEEFF" w:val="clear"/>
            <w:vAlign w:val="center"/>
          </w:tcPr>
          <w:p>
            <w:pPr>
              <w:pStyle w:val="TableContents"/>
              <w:bidi w:val="0"/>
              <w:spacing w:before="0" w:after="283"/>
              <w:jc w:val="center"/>
              <w:rPr/>
            </w:pPr>
            <w:r>
              <w:rPr/>
              <w:t>F-1</w:t>
            </w:r>
          </w:p>
        </w:tc>
      </w:tr>
    </w:tbl>
    <w:p>
      <w:pPr>
        <w:pStyle w:val="TextBody"/>
        <w:bidi w:val="0"/>
        <w:spacing w:before="0" w:after="0"/>
        <w:ind w:left="0" w:right="0" w:hanging="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S-i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_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part of a registration statement on Form S-3 that we have filed with the Securities and Exchange Commission (the “SEC”) utilizing a “shelf” registration process. Under the shelf registration process, we may offer securities, including our Common Stock, having an aggregate offering price of up to $75,000,000 registered under the registration statement. This prospectus supplement may add to, update or change information in the accompanying prospectus and the documents incorporated by reference into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dated October 9, 2026, included in our registration statement on Form S-3 (File No. 333-298608), along with the documents incorporated by reference therein, which provides more general information, some of which does not apply to this offering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buying any of the Common Stock that we are offering, we urge you to carefully read this prospectus supplement and the accompanying prospectus, together with the information incorporated by reference in this prospectus supplement, and any free writing prospectus that we have authorized for use in connection with this offering when making your investment decision. You should also read and consider the information in the documents we have referred you to under the headings “Where You Can Find More Information” and “Incorporation of Certain Information by Reference.” These documents contain important information that you should consider when making your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adds to and updates information contained in the documents incorporated by reference into the accompanying prospectus. To the extent there is a conflict between the information contained in this prospectus supplement, on the one hand, and the information contained in any document incorporated by reference into the accompanying prospectus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into this prospectus supplement) 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and the Managers have not, authorized anyone to provide any information other than that contained or incorporated by reference in this prospectus supplement, the accompanying prospectus and any free writing prospectus prepared by or on behalf of us or to which we have referred you. We and the Managers take no responsibility for, and can provide no assurance as to the reliability of, any other information that others may give you. We are not, and the Managers are not, making an offer to sell or soliciting an offer to buy these securities in any jurisdiction where an offer, sale or solicitation is not permitted. You should assume that the information appearing in this prospectus supplement, the accompanying prospectus, the documents incorporated by reference herein or therein and any free writing prospectus that we have authorized for use in connection with this offering, is accurate only as of the date of those respective documents.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sell, and seeking offers to buy,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or the accompanying prospectus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 representations, warranties and covenants made by us in any agreement that is filed as an exhibit to any document that is incorporated by reference into this prospectus supplement and accompanying prospectus were made solely as of the date specified and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3" w:name="S_2"/>
      <w:bookmarkEnd w:id="3"/>
      <w:r>
        <w:rPr>
          <w:rFonts w:ascii="Times New Roman;Times;Serif" w:hAnsi="Times New Roman;Times;Serif"/>
          <w:b/>
          <w:i w:val="false"/>
          <w:caps w:val="false"/>
          <w:smallCaps w:val="false"/>
          <w:sz w:val="20"/>
          <w:bdr w:val="single" w:sz="12" w:space="5" w:color="000000"/>
        </w:rPr>
        <w:t>PROSPECTUS SUPPLEMENT SUMMARY</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 xml:space="preserve">This summary highlights certain information about us, this offering and selected information contained elsewhere in or incorporated by reference into this prospectus supplement. This summary provides an overview of selected information and does not contain all of the information you should consider before deciding whether to invest in our Common Stock. Therefore, you should read the entire prospectus supplement, the accompanying prospectus and the information incorporated by reference herein and therein carefully, especially the </w:t>
      </w:r>
      <w:r>
        <w:rPr>
          <w:rFonts w:ascii="Times New Roman;Times;Serif" w:hAnsi="Times New Roman;Times;Serif"/>
          <w:b w:val="false"/>
          <w:i w:val="false"/>
          <w:caps w:val="false"/>
          <w:smallCaps w:val="false"/>
          <w:sz w:val="20"/>
          <w:bdr w:val="single" w:sz="12" w:space="5" w:color="000000"/>
        </w:rPr>
        <w:t>“</w:t>
      </w:r>
      <w:r>
        <w:rPr>
          <w:rFonts w:ascii="Times New Roman;Times;Serif" w:hAnsi="Times New Roman;Times;Serif"/>
          <w:b w:val="false"/>
          <w:i/>
          <w:caps w:val="false"/>
          <w:smallCaps w:val="false"/>
          <w:sz w:val="20"/>
          <w:bdr w:val="single" w:sz="12" w:space="5" w:color="000000"/>
        </w:rPr>
        <w:t>Risk Factors</w:t>
      </w:r>
      <w:r>
        <w:rPr>
          <w:rFonts w:ascii="Times New Roman;Times;Serif" w:hAnsi="Times New Roman;Times;Serif"/>
          <w:b w:val="false"/>
          <w:i w:val="false"/>
          <w:caps w:val="false"/>
          <w:smallCaps w:val="false"/>
          <w:sz w:val="20"/>
          <w:bdr w:val="single" w:sz="12" w:space="5" w:color="000000"/>
        </w:rPr>
        <w:t xml:space="preserve">” </w:t>
      </w:r>
      <w:r>
        <w:rPr>
          <w:rFonts w:ascii="Times New Roman;Times;Serif" w:hAnsi="Times New Roman;Times;Serif"/>
          <w:b w:val="false"/>
          <w:i/>
          <w:caps w:val="false"/>
          <w:smallCaps w:val="false"/>
          <w:sz w:val="20"/>
          <w:bdr w:val="single" w:sz="12" w:space="5" w:color="000000"/>
        </w:rPr>
        <w:t xml:space="preserve">section beginning on page S-9 of this prospectus supplement and in the documents incorporated by reference and our consolidated financial statements and the related notes incorporated by reference in this prospectus supplement, before deciding to invest in our Common Stock. Unless the context otherwise requires, we use the terms </w:t>
      </w:r>
      <w:r>
        <w:rPr>
          <w:rFonts w:ascii="Times New Roman;Times;Serif" w:hAnsi="Times New Roman;Times;Serif"/>
          <w:b w:val="false"/>
          <w:i w:val="false"/>
          <w:caps w:val="false"/>
          <w:smallCaps w:val="false"/>
          <w:sz w:val="20"/>
          <w:bdr w:val="single" w:sz="12" w:space="5" w:color="000000"/>
        </w:rPr>
        <w:t>“</w:t>
      </w:r>
      <w:r>
        <w:rPr>
          <w:rFonts w:ascii="Times New Roman;Times;Serif" w:hAnsi="Times New Roman;Times;Serif"/>
          <w:b w:val="false"/>
          <w:i/>
          <w:caps w:val="false"/>
          <w:smallCaps w:val="false"/>
          <w:sz w:val="20"/>
          <w:bdr w:val="single" w:sz="12" w:space="5" w:color="000000"/>
        </w:rPr>
        <w:t>Company,” “we,</w:t>
      </w:r>
      <w:r>
        <w:rPr>
          <w:rFonts w:ascii="Times New Roman;Times;Serif" w:hAnsi="Times New Roman;Times;Serif"/>
          <w:b w:val="false"/>
          <w:i w:val="false"/>
          <w:caps w:val="false"/>
          <w:smallCaps w:val="false"/>
          <w:sz w:val="20"/>
          <w:bdr w:val="single" w:sz="12" w:space="5" w:color="000000"/>
        </w:rPr>
        <w:t>” “</w:t>
      </w:r>
      <w:r>
        <w:rPr>
          <w:rFonts w:ascii="Times New Roman;Times;Serif" w:hAnsi="Times New Roman;Times;Serif"/>
          <w:b w:val="false"/>
          <w:i/>
          <w:caps w:val="false"/>
          <w:smallCaps w:val="false"/>
          <w:sz w:val="20"/>
          <w:bdr w:val="single" w:sz="12" w:space="5" w:color="000000"/>
        </w:rPr>
        <w:t>us</w:t>
      </w:r>
      <w:r>
        <w:rPr>
          <w:rFonts w:ascii="Times New Roman;Times;Serif" w:hAnsi="Times New Roman;Times;Serif"/>
          <w:b w:val="false"/>
          <w:i w:val="false"/>
          <w:caps w:val="false"/>
          <w:smallCaps w:val="false"/>
          <w:sz w:val="20"/>
          <w:bdr w:val="single" w:sz="12" w:space="5" w:color="000000"/>
        </w:rPr>
        <w:t xml:space="preserve">” </w:t>
      </w:r>
      <w:r>
        <w:rPr>
          <w:rFonts w:ascii="Times New Roman;Times;Serif" w:hAnsi="Times New Roman;Times;Serif"/>
          <w:b w:val="false"/>
          <w:i/>
          <w:caps w:val="false"/>
          <w:smallCaps w:val="false"/>
          <w:sz w:val="20"/>
          <w:bdr w:val="single" w:sz="12" w:space="5" w:color="000000"/>
        </w:rPr>
        <w:t xml:space="preserve">and </w:t>
      </w:r>
      <w:r>
        <w:rPr>
          <w:rFonts w:ascii="Times New Roman;Times;Serif" w:hAnsi="Times New Roman;Times;Serif"/>
          <w:b w:val="false"/>
          <w:i w:val="false"/>
          <w:caps w:val="false"/>
          <w:smallCaps w:val="false"/>
          <w:sz w:val="20"/>
          <w:bdr w:val="single" w:sz="12" w:space="5" w:color="000000"/>
        </w:rPr>
        <w:t>“</w:t>
      </w:r>
      <w:r>
        <w:rPr>
          <w:rFonts w:ascii="Times New Roman;Times;Serif" w:hAnsi="Times New Roman;Times;Serif"/>
          <w:b w:val="false"/>
          <w:i/>
          <w:caps w:val="false"/>
          <w:smallCaps w:val="false"/>
          <w:sz w:val="20"/>
          <w:bdr w:val="single" w:sz="12" w:space="5" w:color="000000"/>
        </w:rPr>
        <w:t>our</w:t>
      </w:r>
      <w:r>
        <w:rPr>
          <w:rFonts w:ascii="Times New Roman;Times;Serif" w:hAnsi="Times New Roman;Times;Serif"/>
          <w:b w:val="false"/>
          <w:i w:val="false"/>
          <w:caps w:val="false"/>
          <w:smallCaps w:val="false"/>
          <w:sz w:val="20"/>
          <w:bdr w:val="single" w:sz="12" w:space="5" w:color="000000"/>
        </w:rPr>
        <w:t xml:space="preserve">” </w:t>
      </w:r>
      <w:r>
        <w:rPr>
          <w:rFonts w:ascii="Times New Roman;Times;Serif" w:hAnsi="Times New Roman;Times;Serif"/>
          <w:b w:val="false"/>
          <w:i/>
          <w:caps w:val="false"/>
          <w:smallCaps w:val="false"/>
          <w:sz w:val="20"/>
          <w:bdr w:val="single" w:sz="12" w:space="5" w:color="000000"/>
        </w:rPr>
        <w:t>in this prospectus supplement and the accompanying prospectus to refer to Niki BioSolutions, Inc. and, where appropriate, our subsidiaries.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ABOUT NIKI</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Business Overview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July 20, 2026 (the “Closing Date”), after obtaining the requisite shareholder approval and satisfying the closing conditions, Niki BioSolutions, Inc. (formerly known as Aptorum Group Limited, a Cayman Islands exempted company with limited liability (“Aptorum”)) consummated its previously announced merger (the “Closing”) pursuant to that certain Agreement and Plan of Merger, dated July 14, 2025, (the “Merger Agreement”), between Aptorum and DiamiR Biosciences Corp., a Delaware corporation (“DiamiR”), pursuant to which, among other matters, Aptorum was to form a direct, wholly owned subsidiary in the state of Delaware (“Merger Sub”).</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Pursuant to the terms of the Merger Agreement, immediately prior to the Closing on July 20, 2026, Aptorum effected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(the “Company” or “Niki”) and filed Niki’s Certificate of Incorporation with the Delaware Secretary of State (the “Certificate of Incorporation”), which replaced Aptorum’s memorandum and articles in effect as of such time. In connection with the Merger, the Company’s common stock, par value $0.0001 per share (the “Common Stock”), trades on Nasdaq under the symbol “NIKI”. In connection with the name change, the CUSIP number for the Common Stock is </w:t>
      </w:r>
      <w:r>
        <w:rPr>
          <w:rFonts w:ascii="Times New Roman;Times;Serif" w:hAnsi="Times New Roman;Times;Serif"/>
          <w:b w:val="false"/>
          <w:i/>
          <w:caps w:val="false"/>
          <w:smallCaps w:val="false"/>
          <w:sz w:val="20"/>
          <w:bdr w:val="single" w:sz="12" w:space="5" w:color="000000"/>
        </w:rPr>
        <w:t>653942 102</w:t>
      </w:r>
      <w:r>
        <w:rPr>
          <w:rFonts w:ascii="Times New Roman;Times;Serif" w:hAnsi="Times New Roman;Times;Serif"/>
          <w:b w:val="false"/>
          <w:i w:val="false"/>
          <w:caps w:val="false"/>
          <w:smallCaps w:val="false"/>
          <w:sz w:val="20"/>
          <w:bdr w:val="single" w:sz="12" w:space="5" w:color="000000"/>
        </w:rPr>
        <w:t>.</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Following the Domestication, each then issued and outstanding Aptorum Class A share converted automatically, on a one-for-one basis, into a share of Common Stock, and each then issued and outstanding Aptorum Class B share converted automatically into a share of Common Stock and a share of Niki’s non-voting and non-convertible Series A preferred stock (the “Series A Preferred Stock”).</w:t>
      </w:r>
    </w:p>
    <w:p>
      <w:pPr>
        <w:pStyle w:val="TextBody"/>
        <w:shd w:fill="FFFFFF" w:val="clear"/>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Pursuant to the Merger, each then-outstanding share of DiamiR’s common stock was converted into a number of shares of Common Stock equal to the Conversion Ratio, which was the number resulting from dividing (i) 0.4102, which is the quotient of dividing the total number of Aptorum shares on a fully diluted basis by the total number of shares of DiamiR common stock on a fully diluted basis, by (ii) three-sevenths (3/7).</w:t>
      </w:r>
    </w:p>
    <w:p>
      <w:pPr>
        <w:pStyle w:val="TextBody"/>
        <w:shd w:fill="FFFFFF" w:val="clear"/>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Niki BioSolutions is a clinical-stage life sciences company focused on unmet medical needs and high-quality genomic and biomarker testing solutions to healthcare providers, research institutions, and life sciences organizations through its CLIA-certified, CAP-accredited laboratory. The company combines proprietary technologies with a commitment to scientific rigor to support precision medicine across a range of therapeutic areas, including brain health and oncology. Niki BioSolutions collaborates with leading academic centers, disease foundations, and biopharma companies.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Risks Associated with being based in Hong Kong</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“Risk Factors — Risks Related to Doing Business in the Jurisdictions in which Our Operating Subsidiaries Operate — Our subsidiaries’ business, our financial condition and results of operations, and/or the value of our Common Stock or our ability to offer or continue to offer securities to investors may be materially and adversely affected by existing or future PRC laws and regulations.” on page 54 of the accompanying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State of Delaware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future secondary offerings, and listing. If we are subject to the filing requirements, we cannot assure you that we will be able to complete such filings in a timely manner or even at all. See “Risk Factors — Risks Related to Doing Business in 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 on page 49 of the accompanying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“Risk Factors — Risks Related to Doing 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 on page 51 of the accompanying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addition, our Common Stock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Common Stock is prohibited under the HFCA Act because the PCAOB determines that it cannot inspect or fully investigate our auditor at such future time, Nasdaq may determine to delist our Common stock and trading in our Common stock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“Risk Factors — 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 on page 42 of the accompanying prospectus.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Pursuant to the Merger Agreement, DiamiR is now one of our wholly owned subsidiaries.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Regulations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shd w:fill="FFFFFF" w:val="clear"/>
        </w:rPr>
      </w:pPr>
      <w:r>
        <w:rPr>
          <w:rFonts w:ascii="Times New Roman;Times;Serif" w:hAnsi="Times New Roman;Times;Serif"/>
          <w:b w:val="false"/>
          <w:i w:val="false"/>
          <w:caps w:val="false"/>
          <w:smallCaps w:val="false"/>
          <w:sz w:val="20"/>
          <w:bdr w:val="single" w:sz="12" w:space="5" w:color="000000"/>
          <w:shd w:fill="FFFFFF" w:val="clear"/>
        </w:rPr>
        <w:t>This section sets forth a summary of the most significant rules and regulations that affect our business activities in China or the rights of our stockholders to receive dividends and other distributions from 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Permission Required from the PRC Authorities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our daily business operations, its ability to accept foreign investments and the listing of our Common Stock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our Common Stock to significantly decline or become worthless. (Please see the risk factor section, “Risks Related to our Corporate Structure” and “Risks Related to Doing Business in Hong Kong” in the accompanying prospectus for more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Hong Kong Regulation</w:t>
      </w:r>
    </w:p>
    <w:p>
      <w:pPr>
        <w:pStyle w:val="TextBody"/>
        <w:bidi w:val="0"/>
        <w:spacing w:before="0" w:after="0"/>
        <w:ind w:left="48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operations of laboratory in Hong Kong are subject to certain general laws and regulations.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Waste Disposal Ordinance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Under the WDO, clinical waste means waste consisting of any substance, matter or thing generated in connection with:</w:t>
      </w:r>
    </w:p>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4158" w:type="dxa"/>
        <w:jc w:val="left"/>
        <w:tblInd w:w="0" w:type="dxa"/>
        <w:tblLayout w:type="fixed"/>
        <w:tblCellMar>
          <w:top w:w="0" w:type="dxa"/>
          <w:left w:w="0" w:type="dxa"/>
          <w:bottom w:w="0" w:type="dxa"/>
          <w:right w:w="0" w:type="dxa"/>
        </w:tblCellMar>
      </w:tblPr>
      <w:tblGrid>
        <w:gridCol w:w="38"/>
        <w:gridCol w:w="170"/>
        <w:gridCol w:w="3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dental, medical, nursing or veterinary practice;</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practice, or establishment (howsoever described), that provides medical care and services for the sick, injured, infirm or those who require medical treatment;</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6708" w:type="dxa"/>
        <w:jc w:val="left"/>
        <w:tblInd w:w="0" w:type="dxa"/>
        <w:tblLayout w:type="fixed"/>
        <w:tblCellMar>
          <w:top w:w="0" w:type="dxa"/>
          <w:left w:w="0" w:type="dxa"/>
          <w:bottom w:w="0" w:type="dxa"/>
          <w:right w:w="0" w:type="dxa"/>
        </w:tblCellMar>
      </w:tblPr>
      <w:tblGrid>
        <w:gridCol w:w="38"/>
        <w:gridCol w:w="170"/>
        <w:gridCol w:w="6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dental, medical, nursing, veterinary, pathological or pharmaceutical research; or</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5448" w:type="dxa"/>
        <w:jc w:val="left"/>
        <w:tblInd w:w="0" w:type="dxa"/>
        <w:tblLayout w:type="fixed"/>
        <w:tblCellMar>
          <w:top w:w="0" w:type="dxa"/>
          <w:left w:w="0" w:type="dxa"/>
          <w:bottom w:w="0" w:type="dxa"/>
          <w:right w:w="0" w:type="dxa"/>
        </w:tblCellMar>
      </w:tblPr>
      <w:tblGrid>
        <w:gridCol w:w="38"/>
        <w:gridCol w:w="170"/>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dental, medical, veterinary or pathological laboratory practice,</w:t>
            </w:r>
          </w:p>
        </w:tc>
      </w:tr>
    </w:tbl>
    <w:p>
      <w:pPr>
        <w:pStyle w:val="TextBody"/>
        <w:bidi w:val="0"/>
        <w:spacing w:before="0" w:after="0"/>
        <w:ind w:left="48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and which consists wholly or partly of any of the materials specified in one or more of the groups listed below:</w:t>
      </w:r>
    </w:p>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used or contaminated sharps;</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638" w:type="dxa"/>
        <w:jc w:val="left"/>
        <w:tblInd w:w="0" w:type="dxa"/>
        <w:tblLayout w:type="fixed"/>
        <w:tblCellMar>
          <w:top w:w="0" w:type="dxa"/>
          <w:left w:w="0" w:type="dxa"/>
          <w:bottom w:w="0" w:type="dxa"/>
          <w:right w:w="0" w:type="dxa"/>
        </w:tblCellMar>
      </w:tblPr>
      <w:tblGrid>
        <w:gridCol w:w="38"/>
        <w:gridCol w:w="170"/>
        <w:gridCol w:w="1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laboratory waste;</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human and animal tissues;</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infectious materials;</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1398" w:type="dxa"/>
        <w:jc w:val="left"/>
        <w:tblInd w:w="0" w:type="dxa"/>
        <w:tblLayout w:type="fixed"/>
        <w:tblCellMar>
          <w:top w:w="0" w:type="dxa"/>
          <w:left w:w="0" w:type="dxa"/>
          <w:bottom w:w="0" w:type="dxa"/>
          <w:right w:w="0" w:type="dxa"/>
        </w:tblCellMar>
      </w:tblPr>
      <w:tblGrid>
        <w:gridCol w:w="38"/>
        <w:gridCol w:w="17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dressings; and</w:t>
            </w:r>
          </w:p>
        </w:tc>
      </w:tr>
    </w:tbl>
    <w:p>
      <w:pPr>
        <w:pStyle w:val="TextBody"/>
        <w:bidi w:val="0"/>
        <w:spacing w:before="0" w:after="0"/>
        <w:ind w:left="960" w:right="0" w:hanging="480"/>
        <w:jc w:val="both"/>
        <w:rPr>
          <w:caps w:val="false"/>
          <w:smallCaps w:val="false"/>
          <w:bdr w:val="single" w:sz="12" w:space="5" w:color="000000"/>
        </w:rPr>
      </w:pPr>
      <w:r>
        <w:rPr>
          <w:caps w:val="false"/>
          <w:smallCaps w:val="false"/>
          <w:bdr w:val="single" w:sz="12" w:space="5" w:color="000000"/>
        </w:rPr>
        <w:t> </w:t>
      </w:r>
    </w:p>
    <w:tbl>
      <w:tblPr>
        <w:tblW w:w="9498" w:type="dxa"/>
        <w:jc w:val="left"/>
        <w:tblInd w:w="0" w:type="dxa"/>
        <w:tblLayout w:type="fixed"/>
        <w:tblCellMar>
          <w:top w:w="0" w:type="dxa"/>
          <w:left w:w="0" w:type="dxa"/>
          <w:bottom w:w="0" w:type="dxa"/>
          <w:right w:w="0" w:type="dxa"/>
        </w:tblCellMar>
      </w:tblPr>
      <w:tblGrid>
        <w:gridCol w:w="38"/>
        <w:gridCol w:w="170"/>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wastes as specified by the Director of the Environmental Protection Department (“EPD”) of Hong Kong.</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Given the research works in our R&amp;D Center may produce used or contaminated sharps such as syringes and needles as well as dressings, we are subject to WDO, WDR and the Code of Practice.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How Cash is Transferred Through Our Corporate Organization</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Up through September 16, 2026, we have transferred the noted amount to the referenced subsidiary:</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64,309,272.68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Medical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1,673,592.92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17,635,261.58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5,218,255.31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Claves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Signate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finance department is responsible for establishing the cash management policies and procedures among our departments and the operating entities. Majority of the cash are managed by us.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prospectus, neither we nor any of our subsidiaries have ever paid dividends or made distributions to U.S. investors any return on investment may be limited to the value of our common stock. We plan to retain any future earnings to finance growth. Save as disclosed, there were no other transfers, dividends or distributions which have been made between our holding company, our subsidiaries or to our investors. If we determine to pay dividends on any of our common stock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prospectus, neither Libra nor any of our subsidiaries nor investments have ever issued any dividends or distributions to us or their respective shareholders outside of China.</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Variable Interest Entity</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hold a 97.27% economic interest and 31.51% voting power in Libra, while Nautilus International Group Limited (an independent third party) (“Nautilus”) holds 68.26% of Libra’s voting power. Our economic interest is based on owning 7,700,000 shares of Libra’s Class A Common Stock and our voting power is based on the combination of those shares and 2,000,000 shares of Libra’s Class B Common Stock that we own. Each share of Libra’s Class A Common Stock is entitled to one vote and each share of Libra’s Class B Common Stock is entitled to ten votes. We do not consider ourselves to be the primary beneficiary over Libra and therefore do not currently consolidate Libra into our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We continually reassesses whether we are the primary beneficiary of a VIE throughout the entire period we are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 See “Risk Factors — Risks Related to Our Corporate Structure” and “Risk Factors — Risks Relating to Doing Business in Hong Kong” in the accompanying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Implications of Being a Smaller Reporting Company</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“smaller reporting company” as defined in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a result, the information in this prospectus supplement and that we provide to our investors in the future may be different than what you might receive from other public reporting companies.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 corporation incorporated under the laws of the State of Delaware. Our principal executive office is located at 116 Village Boulevard, Suite 200, Princeton, NJ 08540. Our telephone number is (609)-951-2222.</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SEC maintains a website at www.sec.gov which contains in electronic form each of the reports and other information that we have filed electronically with the SEC.</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 xml:space="preserve">Our agent for service of process is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VCorp Agent Services, Inc., 108 W. 13</w:t>
      </w:r>
      <w:r>
        <w:rPr>
          <w:rFonts w:ascii="Times New Roman;Times;Serif" w:hAnsi="Times New Roman;Times;Serif"/>
          <w:b w:val="false"/>
          <w:i w:val="false"/>
          <w:caps w:val="false"/>
          <w:smallCaps w:val="false"/>
          <w:position w:val="7"/>
          <w:sz w:val="16"/>
          <w:sz w:val="20"/>
          <w:bdr w:val="single" w:sz="12" w:space="5" w:color="000000"/>
        </w:rPr>
        <w:t>TH</w:t>
      </w:r>
      <w:r>
        <w:rPr>
          <w:rFonts w:ascii="Times New Roman;Times;Serif" w:hAnsi="Times New Roman;Times;Serif"/>
          <w:b w:val="false"/>
          <w:i w:val="false"/>
          <w:caps w:val="false"/>
          <w:smallCaps w:val="false"/>
          <w:sz w:val="20"/>
          <w:bdr w:val="single" w:sz="12" w:space="5" w:color="000000"/>
        </w:rPr>
        <w:t xml:space="preserve"> Street, Suite 100, Wilmington, New Castle County, DE, 19801.</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413"/>
        <w:gridCol w:w="60"/>
        <w:gridCol w:w="8732"/>
      </w:tblGrid>
      <w:tr>
        <w:trPr/>
        <w:tc>
          <w:tcPr>
            <w:tcW w:w="10205" w:type="dxa"/>
            <w:gridSpan w:val="3"/>
            <w:tcBorders/>
            <w:vAlign w:val="center"/>
          </w:tcPr>
          <w:p>
            <w:pPr>
              <w:pStyle w:val="TableContents"/>
              <w:bidi w:val="0"/>
              <w:spacing w:before="0" w:after="283"/>
              <w:ind w:left="0" w:right="0" w:hanging="180"/>
              <w:jc w:val="center"/>
              <w:rPr>
                <w:rFonts w:ascii="Times New Roman;Times;Serif" w:hAnsi="Times New Roman;Times;Serif"/>
                <w:b/>
                <w:sz w:val="20"/>
              </w:rPr>
            </w:pPr>
            <w:bookmarkStart w:id="4" w:name="S_3"/>
            <w:bookmarkEnd w:id="4"/>
            <w:r>
              <w:rPr>
                <w:rFonts w:ascii="Times New Roman;Times;Serif" w:hAnsi="Times New Roman;Times;Serif"/>
                <w:b/>
                <w:sz w:val="20"/>
              </w:rPr>
              <w:t>THE OFFERING</w:t>
            </w:r>
          </w:p>
        </w:tc>
      </w:tr>
      <w:tr>
        <w:trPr/>
        <w:tc>
          <w:tcPr>
            <w:tcW w:w="1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Common Stock Offered by Us</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0"/>
              <w:ind w:left="0" w:right="0" w:hanging="1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having a total maximum aggregate offering price of up to $1,396,000.</w:t>
            </w:r>
          </w:p>
        </w:tc>
      </w:tr>
      <w:tr>
        <w:trPr/>
        <w:tc>
          <w:tcPr>
            <w:tcW w:w="1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Common Stock to be Outstanding Following this Offering </w:t>
            </w:r>
            <w:r>
              <w:rPr>
                <w:rFonts w:ascii="Times New Roman;Times;Serif" w:hAnsi="Times New Roman;Times;Serif"/>
                <w:b/>
                <w:position w:val="7"/>
                <w:sz w:val="16"/>
                <w:sz w:val="20"/>
              </w:rPr>
              <w:t>(1)</w:t>
            </w: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3,268,648 shares of Common Stock, assuming sales of 330,023 shares of Common Stock at a price of $4.23 per share, which was the closing price of our Common Stock on The Nasdaq Capital Market on October 8, 2026. The actual number of shares issued will vary depending on the sale prices in this offering and the degree to which we utilize this program.</w:t>
            </w:r>
          </w:p>
          <w:p>
            <w:pPr>
              <w:pStyle w:val="TableContents"/>
              <w:bidi w:val="0"/>
              <w:spacing w:before="0" w:after="283"/>
              <w:ind w:left="0" w:right="0" w:hanging="180"/>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Manner of Offering</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pPr>
            <w:r>
              <w:rPr/>
              <w:t>“</w:t>
            </w:r>
            <w:r>
              <w:rPr>
                <w:rFonts w:ascii="Times New Roman;Times;Serif" w:hAnsi="Times New Roman;Times;Serif"/>
                <w:sz w:val="20"/>
              </w:rPr>
              <w:t>At the market” offering as defined in Rule 415(a)(4) that may be made from time to time through our Selling Manager, H.C. Wainwright &amp; Co., LLC, acting as our agent or principal. See “Plan of Distribution (Conflicts of Interest)” on page S-19 of this prospectus supplement.</w:t>
            </w:r>
          </w:p>
        </w:tc>
      </w:tr>
      <w:tr>
        <w:trPr/>
        <w:tc>
          <w:tcPr>
            <w:tcW w:w="1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Conflicts of Interest</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Our largest shareholder and one of our directors, Dr. Kira Sheinerman, is a managing director of Wainwright, and therefore Wainwright is deemed to have a “conflict of interest” under FINRA Rule 5121(f)(5). Accordingly, this offering is being made in compliance with the requirements of Rule 5121, which requires, among other things, that a “qualified independent underwriter” participate in the preparation of, and exercise the usual standards of “due diligence” with respect to this prospectus supplement. In accordance with FINRA Rule 5121, Wainwright is not permitted to sell shares in this offering to an account over which it exercises discretionary authority without the prior specific written approval of the account holder. Pursuant to the Sales Agreement and in accordance with Rule 5121, Brookline has agreed to act as a “qualified independent underwriter” in this offering for no additional compensation. We have agreed to indemnify Brookline against certain liabilities incurred in connection with acting as a qualified independent underwriter. See “Plan of Distribution (Conflicts of Interest)” on page S-19 of this prospectus supplement.</w:t>
            </w:r>
          </w:p>
        </w:tc>
      </w:tr>
      <w:tr>
        <w:trPr/>
        <w:tc>
          <w:tcPr>
            <w:tcW w:w="1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We currently intend to use the net proceeds, if any, of this offering for general corporate purposes, including working capital, product development, and sales and marketing expenses. See “Use of Proceeds” on page S-13 for a more complete description of the intended use of proceeds from this offering.</w:t>
            </w:r>
          </w:p>
        </w:tc>
      </w:tr>
      <w:tr>
        <w:trPr/>
        <w:tc>
          <w:tcPr>
            <w:tcW w:w="1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Factors</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Investing in our Common Stock involves significant risk. See “Risk Factors” beginning on page S-9 of this prospectus supplement and other information included and incorporated by reference in this prospectus supplement for a discussion of factors that you should carefully consider before deciding to invest in our Common Stock.</w:t>
            </w:r>
          </w:p>
        </w:tc>
      </w:tr>
      <w:tr>
        <w:trPr/>
        <w:tc>
          <w:tcPr>
            <w:tcW w:w="1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pPr>
            <w:r>
              <w:rPr/>
              <w:t> </w:t>
            </w:r>
          </w:p>
        </w:tc>
      </w:tr>
      <w:tr>
        <w:trPr/>
        <w:tc>
          <w:tcPr>
            <w:tcW w:w="141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Nasdaq Capital Market Symbol</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ind w:left="0" w:right="0" w:hanging="180"/>
              <w:jc w:val="both"/>
              <w:rPr/>
            </w:pPr>
            <w:r>
              <w:rPr/>
              <w:t>“</w:t>
            </w:r>
            <w:r>
              <w:rPr>
                <w:rFonts w:ascii="Times New Roman;Times;Serif" w:hAnsi="Times New Roman;Times;Serif"/>
                <w:sz w:val="20"/>
              </w:rPr>
              <w:t>NIKI”</w:t>
            </w:r>
          </w:p>
        </w:tc>
      </w:tr>
      <w:tr>
        <w:trPr/>
        <w:tc>
          <w:tcPr>
            <w:tcW w:w="14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32"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our shares of Common Stock to be outstanding after this offering is based on 2,938,625 shares of Common Stock outstanding as of October 8, 2026</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tbl>
      <w:tblPr>
        <w:tblW w:w="9890" w:type="dxa"/>
        <w:jc w:val="left"/>
        <w:tblInd w:w="0" w:type="dxa"/>
        <w:tblLayout w:type="fixed"/>
        <w:tblCellMar>
          <w:top w:w="0" w:type="dxa"/>
          <w:left w:w="0" w:type="dxa"/>
          <w:bottom w:w="0" w:type="dxa"/>
          <w:right w:w="0" w:type="dxa"/>
        </w:tblCellMar>
      </w:tblPr>
      <w:tblGrid>
        <w:gridCol w:w="9890"/>
      </w:tblGrid>
      <w:tr>
        <w:trPr/>
        <w:tc>
          <w:tcPr>
            <w:tcW w:w="9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Except as otherwise indicated, all information in this prospectus supplement assumes no exercise of outstanding warrants.</w:t>
            </w:r>
          </w:p>
        </w:tc>
      </w:tr>
    </w:tbl>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S_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Investing in our Common Stock involves a high degree of risk. You should carefully consider the risk factors described below, the risk factors incorporated by reference into this prospectus supplement, including our proxy statement/prospectus on Form S-4, and any updates described in our Current Reports on Form 8-K, and all other information contained or incorporated by reference into this prospectus supplement, including our financial statements and the related notes, as updated by our subsequent filings under the Exchange Act, and in any free writing prospectus that we have authorized for use in connection with this offering before acquiring any of our Common Stock. These risks could have a material and adverse impact on our business, results of operations, financial condition and growth prospects, which may cause the trading price of our Common Stock to decline and you could lose all or part of your investment. The risks described in these documents are not the only ones we face, but those that we consider to be material. There may be other unknown or unpredictable economic, business, competitive, regulatory or other factors that could have material adverse effects on our business, financial condition, results of operations and prospects. Past financial performance may not be a reliable indicator of future performance, and historical trends should not be used to anticipate results or trends in future periods. Please also read carefully the section below entitled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Common Stock and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will have broad discretion in the use of the net proceeds from this offering and may not apply the proceeds in ways that increase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this offering, if any, and could spend the net proceeds in ways that do not improve our business, financial condition or results of operations or enhance the value of our Common Stock. You may not agree with our decisions, and our use of the proceeds may not yield any return on your investment. See “Use of Proceeds” on page S-13 of this prospectus supplement for a description of our proposed use of proceeds from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business strategy and we might not be able to yield a significant return, if any, on our investment of these net proceeds. You will not have the opportunity to influence our decisions on how to use the net proceeds from this offering. The failure by our management to apply these funds effectively could result in financial losses that could harm our business and cause the price of our Common Stock to decline. Pending their use, we may invest the net proceeds from this offering in a manner that does not produce income or that loses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immediate and substantial dilution in the net tangible book value per share of the Common Stock you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per share in this offering may exceed the net tangible book value per share of our Common Stock outstanding prior to this offering. Assuming that an aggregate of 330,023 shares of Common Stock are sold at a price of $4.23 per share, the last reported sale price of our Common Stock on The Nasdaq Capital Market on October 8, 2026 for aggregate gross proceeds of approximately $1,396,000, and after deducting commissions and estimated offering expenses payable by us, investors purchasing our Common Stock in this offering would experience immediate dilution of $(0.89) per share, representing the difference between our as adjusted net tangible book value per share as of June 30, 2026, after giving effect to this offering, and the assumed offering price. Our existing shareholders would experience an immediate decrease in net tangible book value of $(0.12) per share. The exercise of outstanding warrants will result in further dilution of your investment. See the section titled “Dilution” beginning on page S-10 below for a more detailed illustration of the dilution you would incur if you participate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additional capital, we may in the future offer additional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Common Stock, or securities convertible or exchangeable into Common Stock, in future transactions may be higher or lower than the price per share paid by investors in this offering. As a result, our shareholders and other holders of our securities would experience immediate dilution upon the purchase of any Common Stock sold at such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cash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cash dividends on our Common Stock and we do not expect to declare or pay any cash dividends in the foreseeable future. As a result, shareholders may only receive a return on their investment in our Common Stock if the trading price of their shares increases.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the General Corporation Law of the State of Delaware, dividends may be declared and paid only out of surplus (the excess of net assets over capital) or, in the absence of surplus, out of net profits for the fiscal year in which the dividend is declared and/or the preceding fiscal year. A dividend may not be paid if, after giving it effect, the Company would be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or issuances of our Common Stock in the public markets, or the perception of such sales, could depress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and the accompanying prospectus or in one or more separate offerings. We cannot predict the effect that future sales of Common Stock or other equity-related securities would have on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in this offering and the gross proceeds resulting from those sales,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an issuance notice to the Selling Manager at any time throughout the term of the Sales Agreement. The number of shares that are sold by the Selling Manager after delivering an issuance notice will fluctuate based on the market price of our Common Stock during the sales period and limits we set with the Selling Manager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The Common Stock offered hereby will be sold in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at the market offerings,</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has been and may be volatile in the future, and as a result, investors in our securities could incur substantial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guarantee that our share price will remain at current prices or that future sales of our Common Stock will not be made at prices lower than those sold to investors. We may incur rapid and substantial increases or decreases in our share price in the foreseeable future attributable to various factors including those discussed in the “Risk Factors” section in this prospectus supplement and the documents incorporated by reference herein and in any free writing prospectus we authorize for use in connection with this offering. Some factors may be unrelated to our operating performance or prospects or may be beyond our control. The price for our Common Stock may be influenced by many factors, including investor reaction to our business strategy; the success of our services, products, or technologies; compliance with Nasdaq listing standards; variations in our financial results; any major change in our board or management; or our involvement in regulatory investigations or litigation. In addition, if one or more analysts covering our business downgrade their evaluations of our Common Stock or the stock of other companies in our industry, the price of our Common Stock could decline. If one or more analysts cease to cover our Common Stock, we could lose visibility in the market for our Common Stock, which in turn could cause our share price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share price may continue to be volatile in the future, investors in our Common Stock could incur substantial losses. In the past, following periods of volatility in the market, securities class-action litigation has often been instituted against companies. Securities litigation and shareholder activism, including potential proxy contests, could result in substantial costs and divert management’s and our board of directors’ attention and resources from our business. Such securities litigation and shareholder activism could give rise to perceived uncertainties as to our future, adversely affect our relationships with service providers and make it more difficult to attract and retain qualified personnel. We may be required to incur significant legal fees and other expenses related to any securities litigation and activist shareholder matters. Further, our share price could be subject to significant fluctuation or otherwise be adversely affected by the events, risks and uncertainties of any securities litigation and shareholder activism.</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share ownership presents risks, including lack of liquidity in the trading market for our Common Stock and limitations on any individual shareholder’s ability to influence corporate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8, 2026, our largest shareholder, Dr. Kira Sheinerman, who is also one of our directors, beneficially owns and has the ability to exercise voting control over approximately 51.6% of our outstanding Common Stock. As a result, Dr. Sheinerman can control the outcome of matters submitted to our shareholders for approval, including the election of directors and any merger, consolidation, or sale of all or substantially all of our assets. As a board member, Dr. Sheinerman owes a fiduciary duty to our shareholders and must act in good faith in a manner she reasonably believes to be in the best interests of our shareholders. As a shareholder, even a controlling shareholder, Dr. Sheinerman is entitled to vote her shares, and shares over which she has voting control as a result of voting agreements, in her own interests, which may not always be in the interests of our shareholders generally. However, Dr. Sheinerman is a party to that certain Stockholders Agreement dated as of July 20, 2026, pursuant to which she has agreed to vote in favor of certain corporate actions for a certain period of time, all as detailed in the Stockholders Agreement, a copy of which is attached as an exhibit to the Current Report on Form 8-K filed on July 20, 2026,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concentration of share ownership may also serve to limit the trading volume of our Common Stock and lead to greater volatility in our share price. If the concentration of our Common Stock ownership were to significantly shift, via sales of shares currently held by Dr. Sheinerman or otherwise, we cannot predict the impact that any resulting change to the trading volume might have on our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may not be sustained following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is currently listed on The Nasdaq Capital Market under the symbol “NIKI”, an active trading market for our shares may not be sustained. If an active market for our Common Stock does not continue, it may be difficult for you to sell your shares, including shares you may purchase in this offering, without depressing the market price for the shares, or sell your shares at all. Any inactive trading market for our Common Stock may also impair our ability to raise capital to continue to fund our operations by selling shares and may impair our ability to acquire other companies or technologies by using our shares as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sales of our Common Stock may occur, which could cause our share price to decline. Low trading volume for our shares, which may occur if an active trading market is not sustained, among other reasons, would increase the likelihood of substantial sales causing our share price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currently listed on The Nasdaq Capital Market. If we are unable to maintain listing of our securities on Nasdaq or any stock exchange, our share price could be adversely affected and the liquidity of our shares and our ability to obtain financing could be impaired and it may be more difficult for our shareholders to sell their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is currently listed on The Nasdaq Capital Market, we may not be able to continue to meet the exchange’s minimum listing requirements or those of any other national exchange. The Listing Rules of The Nasdaq Capital Market require listing issuers to comply with certain standards in order to remain listed on its exchange. If, for any reason, we should fail to maintain compliance with these listing standards and Nasdaq should delist our securities from trading on its exchange and we are unable to obtain listing on another national securities exchange, a reduction in some or all of the following may occur, each of which could have a material adverse effect on our shareholders:</w:t>
      </w:r>
    </w:p>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liquidity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38"/>
        <w:gridCol w:w="170"/>
        <w:gridCol w:w="3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financing for the continuation of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investors that will consider investing in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4473" w:type="dxa"/>
        <w:jc w:val="left"/>
        <w:tblInd w:w="0" w:type="dxa"/>
        <w:tblLayout w:type="fixed"/>
        <w:tblCellMar>
          <w:top w:w="0" w:type="dxa"/>
          <w:left w:w="0" w:type="dxa"/>
          <w:bottom w:w="0" w:type="dxa"/>
          <w:right w:w="0" w:type="dxa"/>
        </w:tblCellMar>
      </w:tblPr>
      <w:tblGrid>
        <w:gridCol w:w="38"/>
        <w:gridCol w:w="170"/>
        <w:gridCol w:w="4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market makers in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information concerning the trading prices and volume of our Common Stock; and</w:t>
            </w:r>
          </w:p>
        </w:tc>
      </w:tr>
    </w:tbl>
    <w:p>
      <w:pPr>
        <w:pStyle w:val="TextBody"/>
        <w:bidi w:val="0"/>
        <w:spacing w:before="0" w:after="0"/>
        <w:ind w:left="0" w:right="0" w:hanging="0"/>
        <w:jc w:val="left"/>
        <w:rPr>
          <w:caps w:val="false"/>
          <w:smallCaps w:val="false"/>
        </w:rPr>
      </w:pPr>
      <w:r>
        <w:rPr>
          <w:caps w:val="false"/>
          <w:smallCaps w:val="false"/>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broker-dealers willing to execute trades in our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_5"/>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information incorporated herein or therein by reference contain certain statements that constitute “forward-looking statements” within the meaning of Section 27A of the Securities Act and Section 21E of the Exchange Act and the “safe harbor” provisions of the United States Private Securities Litigation Reform Act of 1995. In some cases, you can identify these forward-looking statements by the use of terms such as “expect,” “will,” “continue,” “believe,” “estimate,” “aim,” “project,” “intend,” “should,” “is to be,” or similar expressions, and variations or negatives of these words, but the absence of these words does not mean that a statement is not forward-looking. All statements other than statements of historical fact are statements that could be deemed forward-looking statements. These forward-looking statements are subject to known and unknown risks, uncertainties and other factors that may cause our actual results, levels of activity, performance, or achievements to differ materially from results expressed or implied in this prospectus supplement or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facts contained in this prospectus supplement, the accompanying prospectus and the documents incorporated by reference herein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prospectus and the documents incorporated by reference herein also contain estimates and other statistical data made by independent parties and by us relating to market size and growth and other data about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prospectus supplement, the accompanying prospectus and the documents incorporated by reference herein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risks, uncertainties and assumptions, including those under the heading “Risk Factors” in this prospectus supplement and in the documents incorporated by reference herein,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prospectus or the documents incorporated by reference herein, whether as a result of any new information, future events, changed circumstances or otherwise.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_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and sell Common Stock having aggregate sales proceeds of up to $1,396,000 from time to time. We will pay certain expenses associated with the registration of the Common Stock covered by this prospectus supplement, as described in the section titled “Plan of Distribution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net proceeds from this offering will depend upon the number of shares of our Common Stock sold and the market price at which they are sold.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as a source of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if any, for general corporate purposes, including working capital, product development, and sales and marketing expenses. The amounts and timing of our use of the net proceeds from this offering will depend on a number of factors. As of the date of this prospectus supplement, we cannot specify with certainty all of the particular uses for the net proceeds to us from the sale of the securities offered by us hereunder. Accordingly, our management will have broad discretion in the timing and application of these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use of our net proceeds from this offering described above, we intend to invest the net proceeds in a variety of capital preservation investments, including short-term, investment-grade, and interest-bearing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and timing of our actual expenditures will depend on numerous factors, including the factors described under “Risk Factors” in this prospectus supplement and in the documents incorporated by reference herein, as well as the amount of cash used in our operations. We may find it necessary or advisable to use the net proceeds for other purposes, and we will have broad discretion in the application of the net proceeds.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_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this offering, your ownership interest will be diluted to the extent of the difference between the public offering price per share and the as adjusted net tangible book value per share after giving effect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net tangible book value per share by dividing the net tangible book value, which is the total tangible assets less total liabilities, by the number of outstanding shares of Common Stock. Dilution represents the difference between the amount per share paid by purchasers of shares in this offering and the as-adjusted net tangible book value per share of our Common Stock immediately after giving effect to this offering. Our net tangible book value as of June 30, 2026 was approximately $15,400,000, or $5.24 per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effect to the sale of 330,023 shares of Common Stock pursuant to this prospectus supplement and the accompanying prospectus in the aggregate amount of approximately $1,396,000 at an assumed offering price of $4.23 per share, the last reported sale price of our Common Stock on The Nasdaq Capital Market on October 8, 2026, and after deducting commissions and estimated aggregate offering expenses payable by us, our as adjusted net tangible book value would have been approximately $16,739,000, or $5.12 per share of Common Stock. This represents an immediate decrease in net tangible book value of $(0.12) per share to our existing shareholders and an immediate dilution in net tangible book value of $(0.89) per share to investors purchasing our shares in this offering at the assumed public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dilution on a per share basis:</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0" w:type="dxa"/>
          <w:right w:w="0" w:type="dxa"/>
        </w:tblCellMar>
      </w:tblPr>
      <w:tblGrid>
        <w:gridCol w:w="8105"/>
        <w:gridCol w:w="60"/>
        <w:gridCol w:w="170"/>
        <w:gridCol w:w="500"/>
        <w:gridCol w:w="75"/>
      </w:tblGrid>
      <w:tr>
        <w:trPr/>
        <w:tc>
          <w:tcPr>
            <w:tcW w:w="810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Assumed public offering price per share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Decrease in net tangible book value per share attributable to this offering</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w:t>
            </w:r>
          </w:p>
        </w:tc>
        <w:tc>
          <w:tcPr>
            <w:tcW w:w="5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81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 adjusted net tangible book value per share as of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8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Dilution per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assumes for illustrative purposes that an aggregate of 330,023 shares of Common Stock are sold pursuant to this prospectus supplement and the accompanying prospectus at a price of $4.23 per share, the last reported sale price of our Common Stock on The Nasdaq Capital Market on October 8, 2026, for aggregate gross proceeds of approximately $1,396,000 in this offering. The shares sold in this offering, if any, will be sold from time to time at various prices. An increase of $0.50 per share in the price at which the shares are sold from the assumed offering price of $4.23 per share shown in the table above, assuming all of our Common Stock in the aggregate amount of $1,396,000 is sold at that price, would increase our as adjusted net tangible book value per share after the offering to $5.18 per share and would increase the dilution in net tangible book value per share to new investors in this offering to $(0.45) per share, after deducting commissions and estimated aggregate offering expenses payable by us. A decrease of $0.50 per share in the price at which the shares are sold from the assumed offering price of $4.23 per share shown in the table above, assuming all of our Common Stock in the aggregate amount of $1,396,000 is sold at that price, would decrease our as adjusted net tangible book value per share after the offering to $5.06 per share and would decrease the dilution in net tangible book value per share to new investors in this offering to $(1.33) per share, after deducting commissions and estimated aggregate offering expenses payable by us. This information is supplied for illustrative purposes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after this offering is based on 2,938,625 shares of Common Stock outstanding as of October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warrants are exercised, or any new securities are issued under our equity incentive plans, or we issue additional Common Stock in the future, there will be further dilution to investors participating in this offering.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_8"/>
      <w:bookmarkEnd w:id="9"/>
      <w:r>
        <w:rPr>
          <w:rFonts w:ascii="Times New Roman;Times;Serif" w:hAnsi="Times New Roman;Times;Serif"/>
          <w:b/>
          <w:i w:val="false"/>
          <w:caps w:val="false"/>
          <w:smallCaps w:val="false"/>
          <w:sz w:val="20"/>
        </w:rPr>
        <w:t>DESCRIPTION OF THE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Certificate of Incorporation, insofar as they relate to the material terms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160,000,000 shares of capital stock consisting of preferred stock and common stock. Below is a summary of the material terms of each such class.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were 2,938,625 shares of our Common Stock and 179,693 shares of Series A Preferred Stock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150,000,000 shares of common stock, with a par value of $0.0001 per share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Common Stock is entitled to one vote for each share of Common Stock held of record by such holder on all matters voted upon by the Company’s stockholders, provided, however, that, except as otherwise required in the Certificate of Incorporation or the company’s Bylaws (collectively, the “Charter Documents”), as provided by law or by the resolution(s) or any certificate of designation providing for the issue of any preferred stock, the holders of Common Stock are not entitled to vote on any amendment to the Charter Documents that relate solely to the terms of one or more outstanding series of Preferred Stock if the holders of such affected series are entitled, either separately or together with the holders of one or more other such series, to vote thereon pursuant to the Charter Documents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Common Stock are entitled to 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Common Stock is entitled to preemptive or subscription rights contained in the Charter Documents. There are no redemption or sinking fund provisions applicable to the Common Stock. The rights, preferences, and privileges of holders of the Common Stock are subject to those of the holders of any shares of the preferred stock that the Company may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our Certificate of Incorporation and our Bylaws may have the effect of delaying, deferring or discouraging another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Documents: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permit the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authorized number of directors may be changed only by resolution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the Board is classified into three classes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require that any action to be taken by the Company’s stockholders must be effected at a duly called annual or special meeting of stockholders and not be taken by written consent or electronic transmission;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of the Company’s stockholders may be called only by the Board, the chairperson of the Board, the Company’s Chief Executive Officer or upon the written request by a majority of the shareholders entitled to vote;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Documents provide that special meetings of the Company’s stockholders may be called only by the Board, the Chairman of the Board, the Chief Executive Officer of the Company, or upon the written request by a majority of the shareholders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pStyle w:val="TextBody"/>
        <w:bidi w:val="0"/>
        <w:spacing w:before="0" w:after="0"/>
        <w:ind w:left="0" w:right="0" w:firstLine="72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Documents provide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Documents ws; (d) any claim or cause of action seeking to interpret, apply, enforce or determine the validity of the Charter Documents;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Documents also require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opted out of the provisions of Section 203 of the DGCL regulating corporate takeovers under the Charter Documents.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stockholder who owns 15% or more of the Company’s outstanding voting stock (otherwise known as an “interested stockholder”);</w:t>
            </w:r>
          </w:p>
        </w:tc>
      </w:tr>
    </w:tbl>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affiliate of an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associate of an interested stockholder, for three years following the date that the stockholder became an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the Company’s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Board approves the transaction that made the stockholder an “interested stockholder,” prior to the date of the transaction;</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hanging="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Documents eliminate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firstLine="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transaction from which the director derives an improper personal benefit;</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unlawful payment of dividends or redemption of shares; or</w:t>
            </w:r>
          </w:p>
        </w:tc>
      </w:tr>
    </w:tbl>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any breach of a director’s duty of loyalty to the corporation or its stockholders.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Documents require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Documents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Documents are necessary to attract and retain qualified persons as directors and officers.</w:t>
      </w:r>
    </w:p>
    <w:p>
      <w:pPr>
        <w:pStyle w:val="TextBody"/>
        <w:bidi w:val="0"/>
        <w:spacing w:before="0" w:after="0"/>
        <w:ind w:left="0" w:right="0" w:hanging="720"/>
        <w:jc w:val="left"/>
        <w:rPr>
          <w:caps w:val="false"/>
          <w:smallCaps w:val="false"/>
        </w:rPr>
      </w:pPr>
      <w:r>
        <w:rPr>
          <w:caps w:val="false"/>
          <w:smallCaps w:val="false"/>
        </w:rPr>
        <w:t> </w:t>
      </w:r>
    </w:p>
    <w:p>
      <w:pPr>
        <w:pStyle w:val="TextBody"/>
        <w:bidi w:val="0"/>
        <w:spacing w:before="0" w:after="0"/>
        <w:ind w:left="720" w:right="0" w:hanging="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_9"/>
      <w:bookmarkEnd w:id="10"/>
      <w:r>
        <w:rPr>
          <w:rFonts w:ascii="Times New Roman;Times;Serif" w:hAnsi="Times New Roman;Times;Serif"/>
          <w:b/>
          <w:i w:val="false"/>
          <w:caps w:val="false"/>
          <w:smallCaps w:val="false"/>
          <w:sz w:val="20"/>
        </w:rPr>
        <w:t>PLAN OF DISTRIBUTION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the Sales Agreement with the Managers, under which we may offer and sell shares of Common Stock from time to time through Wainwright, acting as sales agent and/or principal. Sales of our shares of Common Stock, if any, under this prospectus supplement and the accompanying prospectus will be made by any method permitted by law deemed to be an “at the market offering” as defined in Rule 415(a)(4) under the Securities Act, including sales made directly on or through Nasdaq or any other existing trading market in the United States for our Common Stock, sales made to or through a market maker other than on an exchange or otherwise, directly to Wainwright as principal, in negotiated transactions at market prices prevailing at the time of sale or at prices related to such prevailing market prices, and/or in any other method permitted by law. If we and Wainwright agree on any method of distribution other than sales of shares of our Common Stock on or through Nasdaq or another existing trading market in the United States at market prices, we will file a further prospectus supplement providing all information about such offering as required by Rule 424(b)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allows for the Company to issue or sell such number of shares of our Common Stock that does not exceed (a) the number or dollar amount of shares of Common Stock registered on the registration statement of which this prospectus forms a part and as reflected on this prospectus supplement, pursuant to which the offering is being made, (b) the number of authorized but unissued shares of our Common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time we wish to issue and sell our shares of Common Stock under the Sales Agreement, we will notify Wainwright of the number of shares to be issued, the dates on which such sales are anticipated to be made, any limitation on the number of shares to be sold in any one day and any minimum price below which sales may not be made. Once we have so instructed Wainwright, unless Wainwright declines to accept the terms of such notice in accordance with the Sales Agreement, Wainwright has agreed to use its reasonable best efforts consistent with its normal trading and sales practices to sell such shares up to the amount specified on such terms. The obligations of Wainwright under the Sales Agreement to sell our shares of Common Stock are subject to a number of conditions that we must meet. We or Wainwright may suspend the offering of shares of Common Stock being made through Wainwright under the Sales Agreement upon proper notice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shares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Wainwright may agree upon. There is no arrangement for funds to be received in an escrow, trust or similar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 commission of 3.0% of the aggregate gross proceeds we receive from each sale of our shares of Common Stock under the Sales Agreement. Because there is no minimum offering amount required as a condition to close this offering, the actual total public offering amount, commissions and proceeds to us, if any, are not determinable at this time. In addition, we have agreed to reimburse the Managers for the fees and disbursements of their counsel, payable upon execution of the Sales Agreement, in an amount not to exceed $50,000, in addition to $3,500 and $5,000 per “Representation Date” in connection with ongoing diligence arising from the transactions contemplated by the Sales Agreement for each Form 10Q and Form 10-K, respectively. The remaining sale proceeds, after deducting any other transaction fees, will equal our net proceeds from the sale of such shares. We will report at least quarterly the number of shares of Common Stock sold through Wainwright under the Sales Agreement, the net proceeds to us and the compensation paid by us to Wainwright in connection with the sales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granted Wainwright a right of first refusal to act as the exclusive financial advisor, sole book-running manager, sole underwriter or sole placement agent, as applicable, for future strategic transactions, financing or refinancing of indebtedness or public or private offering of equity, equity-linked or debt securities by us or any of our subsidiaries following the date of the ATM Agreement and until the 12-month anniversary of date of this prospectus supplement, subject to FINRA Rule 5110(g)(6)(A).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Wainwright is not required to sell any certain number of shares or dollar amount of our Common Stock, but will use its reasonable best efforts consistent with its normal trading and sales practices to sell on our behalf all of the shares of Common Stock requested to be sold by us, subject to the conditions set forth in the Sales Agreement. In connection with the sale of our shares of Common Stock on our behalf, the Managers will be deemed to be “underwriters” within the meaning of the Securities Act, and the compensation to the Managers will be deemed to be underwriting commissions or discounts. We have agreed to indemnify the Managers against certain civil liabilities, including liabilities under the Securities Act. We have also agreed to contribute to payments the Managers may be required to make in respect of such liabilities. The Managers will not engage in any market making activities involving shares of our Common Stock while the offering is ongoing under this prospectus if such activity would be prohibited under Regulation M or other anti-manipulation rules under the Securities Act. The Managers will not engage in any transactions that stabilizes shares of our Common Stock.</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shareholder and one of our directors, Dr. Kira Sheinerman is a managing director of Wainwright, and therefore Wainwright is deemed to have a “conflict of interest” under FINRA Rule 5121(f)(5). Accordingly, this offering is being made in compliance with the requirements of Rule 5121, which requires, among other things, that a “qualified independent underwriter” participate in the preparation of, and exercise the usual standards of “due diligence” with respect to this prospectus supplement. In accordance with FINRA Rule 5121, Wainwright is not permitted to sell shares in this offering to an account over which it exercises discretionary authority without the prior specific written approval of the account holder. Pursuant to the Sales Agreement and in accordance with Rule 5121, Brookline has agreed to act as a “qualified independent underwriter” in this offering for no additional compensation. We have agreed to indemnify Brookline against certain liabilities incurred in connection with acting as a qualified independent underwriter.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shares of Common Stock pursuant to the Sales Agreement will terminate upon the termination of the Sales Agreement as permitted therein. The Company may terminate the Sales Agreement at any time upon ten business days’ prior written notice to the Managers, Wainwright may terminate the Sales Agreement at any time upon prior written notice to the Company and the parties can mutually agree to terminate the Sales Agreement; Brookline has the right to terminate the provisions of the Sales Agreement pertaining to Brookline upon ten business days’ prior notice to the Company and HCW.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Managers and their affiliates may in the future provide various investment banking, commercial banking, financial advisory and other financial services for us and our affiliates, for which services they may in the future receive customary fees. In the course of its business, the Managers may actively trade our securities for its own account or for the accounts of customers, and, accordingly, the Managers may at any time hold long or short positions in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Merger, on July 7, 2025, DiamiR entered into a financial advisory agreement with Wainwright, with Wainwright acting as exclusive financial advisor to DiamiR in connection with the Merger. As compensation for its services, Wainwright received Common Stock purchase warrants to purchase up to 56,625 shares of our Common Stock. If we consummate one or more financing transactions, with gross proceeds of at least $4,000,000 within 90 days of the Merger, Wainwright will receive a cash fee of $250,000, which cash fee shall be paid in lieu of a number of warrants equal to $250,000 as described in the immediately preceding sentence (and, if previously issued, a number of warrants equal to $250,000 shall be cancelled). In addition, Wainwright receives reimbursement of reasonable out-of-pocket expenses, including legal fees and expenses, incurred by Wainwright in connection with the financial advisory agreement. Wainwright also served as our placement agent for a private financing we conducted in October 2025, pursuant to which it received placement agent warrants to purchase an aggregate of 60,000 shares, at an exercise price of $2.50 per share. Additionally, one of our directors, Dr. Sheinerman, is a managing director at Wainwright and has voting rights with respect to approximately 51.6% of our outstanding shares of Common Stock as of October 8, 2026. Dr. Sheinerman was granted options to purchase up to 8,000 shares at an exercise price of $8.83, 2,000 of which vested immediately upon closing of the Merger and the remaining 6,000 shall vest in equal installments of 2,000 per quarter over three quarters , which is consistent with compensation granted to other members of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in this prospectus supplement, we have no present arrangements with the Managers for any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statement of the terms and conditions of the sales agreement. A copy of the sales agreement will be included as an exhibit to a Current Report on Form 8-K that will be incorporated by reference into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in electronic format may be made available on a website maintained by Wainwright, and Wainwright may distribute the prospectus supplement and the accompanying prospectus electronically.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10004-1571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212.845.3299</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www.continentalstock.com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“NIKI.”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or will be been taken by us or the Managers that would permit a public offering of the securities offered by this prospectus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This prospectus supplement does not constitute an offer to sell or a solicitation of an offer to buy any securities offered by this prospectus in any jurisdiction in which such an offer or a solicitation is unlawful.</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_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any securities offered by this prospectus and any related prospectus supplement will be passed upon for us by Hunter Taubman Fischer &amp; Li LLC, New York, New York. Ellenoff Grossman &amp; Schole LLP, New York, New York, is serving as counsel to the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_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Aptorum Group Limited (the Company’s predecessor) as of December 31, 2025 and 2024, the related consolidated statements of operations and comprehensive loss, changes in equity and cash flows for each of the three years in the period ended December 31, 2025, and the related notes, incorporated by reference in this prospectus and elsewhere in the registration statement have been so incorporated by reference in reliance on the report (which contains an explanatory paragraph relating to the Company’s ability to continue as a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as described in Note 2 to the financial statements) of Marcum Asia CPAs LLP, an independent registered public accounting firm given on the authority of such firm as experts in accounting and auditing.</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 of DiamiR Biosciences Corp. as of May 31, 2026, and the related consolidated statements of operations, changes in stockholders’ deficit and cash flows for the year ended May 31, 2026, and the related notes, incorporated by reference in this prospectus and elsewhere in the registration statement have been so incorporated by reference in reliance on the report (which contains an explanatory paragraph relating to substantial doubt about the ability of DiamiR Biosciences Corp. to continue as a going concern as described in Note 2 to the financial statements) of CBIZ CPAs P.C., independent registered public accounting firm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_12"/>
      <w:bookmarkEnd w:id="1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shares of Common Stock offered pursuant to this prospectus. This prospectus does not contain all of the information set forth in the registration statement and its exhibits, certain portions of which are omitted as permitted by the rules and regulations of the SEC. For further information pertaining to us and the shares of Common Stock covered by this prospectus, we refer you to the registration statement and the exhibits thereto. Statements contained in or incorporated by reference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maintains a web site at www.sec.gov that contains reports, proxy, and information statements and other information regarding registrants that file electronically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reporting requirements of the Exchange Act and, in accordance therewith, file periodic reports, proxy statements, and other information with the SEC. These periodic reports, proxy statements, and other information, when filed, will be available on the website of the SEC referred to above. We also maintain a website at nikibio.com and nikibiosolutions.com. You may access these materials free of charge as soon as reasonably practicable after they are electronically filed with, or furnished to, the SEC. Information contained in, or accessible through, our website does not constitute part of this prospectus.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_13"/>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supplement and the accompanying prospectus.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Reports on Form 8-K and Form 8-K/A filed with the SEC on </w:t>
            </w:r>
            <w:hyperlink r:id="rId2">
              <w:r>
                <w:rPr>
                  <w:rStyle w:val="InternetLink"/>
                  <w:rFonts w:ascii="Times New Roman;Times;Serif" w:hAnsi="Times New Roman;Times;Serif"/>
                </w:rPr>
                <w:t>July 20, 2026</w:t>
              </w:r>
            </w:hyperlink>
            <w:r>
              <w:rPr>
                <w:rFonts w:ascii="Times New Roman;Times;Serif" w:hAnsi="Times New Roman;Times;Serif"/>
              </w:rPr>
              <w:t xml:space="preserve">, </w:t>
            </w:r>
            <w:hyperlink r:id="rId3">
              <w:r>
                <w:rPr>
                  <w:rStyle w:val="InternetLink"/>
                  <w:rFonts w:ascii="Times New Roman;Times;Serif" w:hAnsi="Times New Roman;Times;Serif"/>
                </w:rPr>
                <w:t>August 7, 2026</w:t>
              </w:r>
            </w:hyperlink>
            <w:r>
              <w:rPr>
                <w:rFonts w:ascii="Times New Roman;Times;Serif" w:hAnsi="Times New Roman;Times;Serif"/>
              </w:rPr>
              <w:t xml:space="preserve">, </w:t>
            </w:r>
            <w:hyperlink r:id="rId4">
              <w:r>
                <w:rPr>
                  <w:rStyle w:val="InternetLink"/>
                  <w:rFonts w:ascii="Times New Roman;Times;Serif" w:hAnsi="Times New Roman;Times;Serif"/>
                </w:rPr>
                <w:t>August 21, 2026</w:t>
              </w:r>
            </w:hyperlink>
            <w:r>
              <w:rPr>
                <w:rFonts w:ascii="Times New Roman;Times;Serif" w:hAnsi="Times New Roman;Times;Serif"/>
              </w:rPr>
              <w:t xml:space="preserve">, </w:t>
            </w:r>
            <w:hyperlink r:id="rId5">
              <w:r>
                <w:rPr>
                  <w:rStyle w:val="InternetLink"/>
                  <w:rFonts w:ascii="Times New Roman;Times;Serif" w:hAnsi="Times New Roman;Times;Serif"/>
                </w:rPr>
                <w:t>September 4, 2026</w:t>
              </w:r>
            </w:hyperlink>
            <w:r>
              <w:rPr>
                <w:rFonts w:ascii="Times New Roman;Times;Serif" w:hAnsi="Times New Roman;Times;Serif"/>
              </w:rPr>
              <w:t xml:space="preserve">, and </w:t>
            </w:r>
            <w:hyperlink r:id="rId6">
              <w:r>
                <w:rPr>
                  <w:rStyle w:val="InternetLink"/>
                  <w:rFonts w:ascii="Times New Roman;Times;Serif" w:hAnsi="Times New Roman;Times;Serif"/>
                </w:rPr>
                <w:t>September 14, 2026</w:t>
              </w:r>
            </w:hyperlink>
            <w:r>
              <w:rPr>
                <w:rFonts w:ascii="Times New Roman;Times;Serif" w:hAnsi="Times New Roman;Times;Serif"/>
              </w:rPr>
              <w:t xml:space="preserve">; </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Registration Statement on </w:t>
            </w:r>
            <w:hyperlink r:id="rId7">
              <w:r>
                <w:rPr>
                  <w:rStyle w:val="InternetLink"/>
                  <w:rFonts w:ascii="Times New Roman;Times;Serif" w:hAnsi="Times New Roman;Times;Serif"/>
                </w:rPr>
                <w:t>Form S-4</w:t>
              </w:r>
            </w:hyperlink>
            <w:r>
              <w:rPr>
                <w:rFonts w:ascii="Times New Roman;Times;Serif" w:hAnsi="Times New Roman;Times;Serif"/>
              </w:rPr>
              <w:t xml:space="preserve"> (File No. 333-290742) filed with the SEC on October 6, 2025 and declared effective on May 13, 2026; and</w:t>
            </w:r>
          </w:p>
        </w:tc>
      </w:tr>
    </w:tbl>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the description of our Common Stock incorporated by reference in our registration statement on </w:t>
            </w:r>
            <w:hyperlink r:id="rId8">
              <w:r>
                <w:rPr>
                  <w:rStyle w:val="InternetLink"/>
                  <w:rFonts w:ascii="Times New Roman;Times;Serif" w:hAnsi="Times New Roman;Times;Serif"/>
                </w:rPr>
                <w:t>Form S-4</w:t>
              </w:r>
            </w:hyperlink>
            <w:r>
              <w:rPr>
                <w:rFonts w:ascii="Times New Roman;Times;Serif" w:hAnsi="Times New Roman;Times;Serif"/>
              </w:rPr>
              <w:t xml:space="preserve"> (File No. 333-290742), initially filed with the SEC on October 6, 2025, including any amendment or report subsequently filed for the purpose of updating such description, which registration statement was declared effective on May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into this prospectus supplement all documents (other than current reports on Form 8-K that are furnished but not filed) that are filed by us with the SEC pursuant to the Exchange Act after the date of this prospectus supplement and before the termination or completion of this offering. These documents include periodic reports, such as Annual Reports on Form 10-K,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as further supplemented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this prospectus supplement is delivered, upon written or oral request, a copy of any or all documents that are incorporated by reference into this prospectus supplement, but not delivered with the prospectus supplement, other than exhibits to such documents unless such exhibits are specifically incorporated by reference into the documents that this prospectus supplement incorporates. You should direct written requests to:</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609-951-2222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also access the documents incorporated by reference in this prospectus supplement on the SEC’s website at www.sec.gov or through our website at nikibio.com and nikibiosolutions.com. The reference to our website is an inactive textual reference only and, except for the specific incorporated documents listed above, the information contained in or accessible through our website does not constitute a part of this prospectus supplement and is not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supplement or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at prices and on terms that we will determine at the time of each offering, sell Common Stock, preferred stock, warrants, subscription rights, debt securities, units, or a combination of these securities, for an aggregate offering price of up to $75,000,000. This prospectus describes the general manner in which our securities may be offered using this prospectus. Each time we offer and sell securities, we will provide you with a prospectus supplement that will contain specific information about the terms of that offering.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and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par value $0.0001 per share (the “Common Stock”), is currently listed on the Nasdaq Capital Market under the symbol “NIKI”. As of the date of this prospectus, none of the other securities that we may offer by this prospectus is listed on any national securities exchange or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aggregate market value of our Common Stock held by non-affiliates was $5,008,895.46 based on 1,056,729 shares of outstanding Common Stock held by non-affiliates and the closing price of $4.74 on September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our securities in a public primary offering with a value exceeding more than one-third of our public float in any 12-month period so long as our public float remains below $75,000,000. We have not offered any securities pursuant to General Instruction I.B.6 of Form S-3 during the 12 calendar months prior to and including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State of Delaware with no material operations of our own, other than through our wholly owned subsidiary DiamiR Biosciences, Corp., a Delaware corporation (“DiamiR”). Through our direct and indirectly wholly owned subsidiaries, we conduct a significant portion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our operations and/or a material change in the value of our securities, including that such event could cause the value of such securities to significantly decline or become worthless. Investing in our common stock involves a high degree of risk, including the risk of losing your entire investment. We do not own substantial assets or conduct substantial operations in the People’s Republic of China (the “PRC”), but our principal business operations are conducted in Hong Kong and therefore we are considered a China-based issuer and are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our common stock, which would materially affect the interest of the investors.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applicable to the Company regarding operations in Hong Kong,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7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common stock.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common stock, to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are into the Delaware holding company, not Libra, and you may never own any equity in Libra or any other subsidiary. Therefore, we do not believe that we are required to obtain approval or clearance from the CSRC as the listing of our common stock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common stock, cause significant disruption to our business operations, and severely damage our reputation, which would materially and adversely affect our financial condition and results of operations and cause our common stock to significantly decline in value or become worthless. For a detailed description of the risks related to doing business in the PRC, and the offering, see “Risk Factors — Risks Related to Our Corporate Structure” and “Risk Factors — Risks Relating to Doing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through September 16, 2026, we have transferred the noted amount to the referenced subsidiary:</w:t>
      </w:r>
    </w:p>
    <w:p>
      <w:pPr>
        <w:pStyle w:val="TextBody"/>
        <w:bidi w:val="0"/>
        <w:spacing w:before="0" w:after="0"/>
        <w:ind w:left="0" w:right="0" w:firstLine="72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64,309,272.68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Medical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1,673,592.92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17,635,261.58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5,218,255.31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Claves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Signate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finance department is responsible for establishing the cash management policies and procedures among our departments and the operating entities. Majority of the cash are managed by us.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prospectus, neither we nor any of our subsidiaries have ever paid dividends or made distributions to U.S. investors any return on investment may be limited to the value of our common stock. We plan to retain any future earnings to finance growth. Save as disclosed, there were no other transfers, dividends or distributions which have been made between our holding company, our subsidiaries or to our investors. If we determine to pay dividends on any of our common stock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prospectus, neither Libra nor any of our subsidiaries nor investments have ever issued any dividends or distributions to us or their respective shareholders outside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tbl>
      <w:tblPr>
        <w:tblW w:w="7210" w:type="dxa"/>
        <w:jc w:val="left"/>
        <w:tblInd w:w="0" w:type="dxa"/>
        <w:tblLayout w:type="fixed"/>
        <w:tblCellMar>
          <w:top w:w="0" w:type="dxa"/>
          <w:left w:w="0" w:type="dxa"/>
          <w:bottom w:w="0" w:type="dxa"/>
          <w:right w:w="0" w:type="dxa"/>
        </w:tblCellMar>
      </w:tblPr>
      <w:tblGrid>
        <w:gridCol w:w="155"/>
        <w:gridCol w:w="7055"/>
      </w:tblGrid>
      <w:tr>
        <w:trPr/>
        <w:tc>
          <w:tcPr>
            <w:tcW w:w="155" w:type="dxa"/>
            <w:tcBorders/>
            <w:vAlign w:val="center"/>
          </w:tcPr>
          <w:p>
            <w:pPr>
              <w:pStyle w:val="TableContents"/>
              <w:bidi w:val="0"/>
              <w:spacing w:before="0" w:after="283"/>
              <w:jc w:val="left"/>
              <w:rPr/>
            </w:pPr>
            <w:r>
              <w:rPr/>
              <w:t>1</w:t>
            </w:r>
          </w:p>
        </w:tc>
        <w:tc>
          <w:tcPr>
            <w:tcW w:w="7055" w:type="dxa"/>
            <w:tcBorders/>
            <w:vAlign w:val="center"/>
          </w:tcPr>
          <w:p>
            <w:pPr>
              <w:pStyle w:val="TableContents"/>
              <w:bidi w:val="0"/>
              <w:spacing w:before="0" w:after="283"/>
              <w:jc w:val="both"/>
              <w:rPr/>
            </w:pPr>
            <w:r>
              <w:rPr/>
              <w:t>This entity has been struck off the Cayman Islands’ registry and dissolved.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Times;Serif" w:hAnsi="Times New Roman;Times;Serif"/>
          <w:b w:val="false"/>
          <w:i/>
          <w:caps w:val="false"/>
          <w:smallCaps w:val="false"/>
          <w:sz w:val="20"/>
        </w:rPr>
        <w:t>Risk Factors — 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r>
        <w:rPr>
          <w:rFonts w:ascii="Times New Roman;Times;Serif" w:hAnsi="Times New Roman;Times;Serif"/>
          <w:b w:val="false"/>
          <w:i w:val="false"/>
          <w:caps w:val="false"/>
          <w:smallCaps w:val="false"/>
          <w:sz w:val="20"/>
        </w:rPr>
        <w:t xml:space="preserve">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and enforcement of PRC laws and regulations could limit the legal protection available to you and us, hinder our ability to offer or continue to offer the common stock, result in a material adverse effect on our business operations, and damage our reputation, which might further cause the common stock to significantly decline in value or become worthless. See “Risk Factors — Risks Related to Doing Business in Hong Kong,” the section “About Niki” in the Prospectus Summary and “Permission Required from the PRC Authorities” in the Regulation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involve a high degree of risk. See “Risk Factors” beginning on page 7, in addition to Risk Factors contained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directly or through agents or to or through underwriters or dealers. If any agents or underwriters are involved in the sale of the securities their names, and any applicable purchase price, fee, commission, or discount arrangement between or among them, will be set forth, or will be calculable from the information set forth, in an accompanying prospectus supplement. We can sell the securities through agents, underwriters, or dealers only with delivery of a prospectus supplement describing the method and terms of the offering of such securities.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dated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890"/>
        <w:gridCol w:w="530"/>
      </w:tblGrid>
      <w:tr>
        <w:trPr/>
        <w:tc>
          <w:tcPr>
            <w:tcW w:w="68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8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sz w:val="20"/>
                </w:rPr>
                <w:t>CAUTIONARY STATEMENT REGARDING FORWARD-LOOKING STATEMENTS</w:t>
              </w:r>
            </w:hyperlink>
          </w:p>
        </w:tc>
        <w:tc>
          <w:tcPr>
            <w:tcW w:w="530" w:type="dxa"/>
            <w:tcBorders/>
            <w:shd w:fill="CCEEFF" w:val="clear"/>
            <w:vAlign w:val="center"/>
          </w:tcPr>
          <w:p>
            <w:pPr>
              <w:pStyle w:val="TableContents"/>
              <w:bidi w:val="0"/>
              <w:spacing w:before="0" w:after="283"/>
              <w:jc w:val="center"/>
              <w:rPr/>
            </w:pPr>
            <w:r>
              <w:rPr/>
              <w:t>iii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sz w:val="20"/>
                </w:rPr>
                <w:t>ABOUT NIKI</w:t>
              </w:r>
            </w:hyperlink>
          </w:p>
        </w:tc>
        <w:tc>
          <w:tcPr>
            <w:tcW w:w="530"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sz w:val="20"/>
                </w:rPr>
                <w:t>RISK FACTORS</w:t>
              </w:r>
            </w:hyperlink>
          </w:p>
        </w:tc>
        <w:tc>
          <w:tcPr>
            <w:tcW w:w="530" w:type="dxa"/>
            <w:tcBorders/>
            <w:shd w:fill="CCEEFF" w:val="clear"/>
            <w:vAlign w:val="center"/>
          </w:tcPr>
          <w:p>
            <w:pPr>
              <w:pStyle w:val="TableContents"/>
              <w:bidi w:val="0"/>
              <w:spacing w:before="0" w:after="283"/>
              <w:jc w:val="center"/>
              <w:rPr/>
            </w:pPr>
            <w:r>
              <w:rPr/>
              <w:t>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sz w:val="20"/>
                </w:rPr>
                <w:t>DILUTION</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sz w:val="20"/>
                </w:rPr>
                <w:t xml:space="preserve">DESCRIPTION OF SECURITIES </w:t>
              </w:r>
            </w:hyperlink>
          </w:p>
        </w:tc>
        <w:tc>
          <w:tcPr>
            <w:tcW w:w="530" w:type="dxa"/>
            <w:tcBorders/>
            <w:shd w:fill="CCEEFF" w:val="clear"/>
            <w:vAlign w:val="center"/>
          </w:tcPr>
          <w:p>
            <w:pPr>
              <w:pStyle w:val="TableContents"/>
              <w:bidi w:val="0"/>
              <w:spacing w:before="0" w:after="283"/>
              <w:jc w:val="center"/>
              <w:rPr/>
            </w:pPr>
            <w:r>
              <w:rPr/>
              <w:t>79</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sz w:val="20"/>
                </w:rPr>
                <w:t>PLAN OF DISTRIBUTION</w:t>
              </w:r>
            </w:hyperlink>
          </w:p>
        </w:tc>
        <w:tc>
          <w:tcPr>
            <w:tcW w:w="530" w:type="dxa"/>
            <w:tcBorders/>
            <w:shd w:fill="CCEEFF" w:val="clear"/>
            <w:vAlign w:val="center"/>
          </w:tcPr>
          <w:p>
            <w:pPr>
              <w:pStyle w:val="TableContents"/>
              <w:bidi w:val="0"/>
              <w:spacing w:before="0" w:after="283"/>
              <w:jc w:val="center"/>
              <w:rPr/>
            </w:pPr>
            <w:r>
              <w:rPr/>
              <w:t>95</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sz w:val="20"/>
                </w:rPr>
                <w:t>LEGAL MATTERS</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sz w:val="20"/>
                </w:rPr>
                <w:t>EXPERTS</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sz w:val="20"/>
                </w:rPr>
                <w:t>WHERE YOU CAN FIND MORE INFORMATION</w:t>
              </w:r>
            </w:hyperlink>
          </w:p>
        </w:tc>
        <w:tc>
          <w:tcPr>
            <w:tcW w:w="530" w:type="dxa"/>
            <w:tcBorders/>
            <w:shd w:fill="CCEEFF" w:val="clear"/>
            <w:vAlign w:val="center"/>
          </w:tcPr>
          <w:p>
            <w:pPr>
              <w:pStyle w:val="TableContents"/>
              <w:bidi w:val="0"/>
              <w:spacing w:before="0" w:after="283"/>
              <w:jc w:val="center"/>
              <w:rPr/>
            </w:pPr>
            <w:r>
              <w:rPr/>
              <w:t>97</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sz w:val="20"/>
                </w:rPr>
                <w:t>INCORPORATION OF CERTAIN DOCUMENTS BY REFERENCE</w:t>
              </w:r>
            </w:hyperlink>
          </w:p>
        </w:tc>
        <w:tc>
          <w:tcPr>
            <w:tcW w:w="530" w:type="dxa"/>
            <w:tcBorders/>
            <w:shd w:fill="CCEEFF" w:val="clear"/>
            <w:vAlign w:val="center"/>
          </w:tcPr>
          <w:p>
            <w:pPr>
              <w:pStyle w:val="TableContents"/>
              <w:bidi w:val="0"/>
              <w:spacing w:before="0" w:after="283"/>
              <w:jc w:val="center"/>
              <w:rPr/>
            </w:pPr>
            <w:r>
              <w:rPr/>
              <w:t>98</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Pr>
                <w:t>INDEX TO FINANCIAL STATEMENTS</w:t>
              </w:r>
            </w:hyperlink>
          </w:p>
        </w:tc>
        <w:tc>
          <w:tcPr>
            <w:tcW w:w="530" w:type="dxa"/>
            <w:tcBorders/>
            <w:shd w:fill="CCEEFF" w:val="clear"/>
            <w:vAlign w:val="center"/>
          </w:tcPr>
          <w:p>
            <w:pPr>
              <w:pStyle w:val="TableContents"/>
              <w:bidi w:val="0"/>
              <w:spacing w:before="0" w:after="283"/>
              <w:jc w:val="center"/>
              <w:rPr/>
            </w:pPr>
            <w:r>
              <w:rPr/>
              <w:t>F-1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or any prospectus supplement.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You should assume that the information contained in this prospectus or any prospectus supplement is accurate only as of the date on the front of the document and that any information contained in any document we have incorporated by reference is accurate only as of the date of the document incorporated by reference, regardless of the time of delivery of this prospectus or any prospectus supplement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1"/>
      <w:bookmarkEnd w:id="15"/>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sell any combination of the securities described in this prospectus in one or more offerings up to a total dollar amount of proceeds of $75,000,000. This prospectus describes the general manner in which our securities may be offered by this prospectus.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Each time we sell securities, we will provide a prospectus supplement that will contain specific information about the terms of that offering. The prospectus supplement may also add, update or change information contained in this prospectus or in documents incorporated by reference in this prospectus. The prospectus supplement that contains specific information about the terms of the securities being offered may also include a discussion of certain U.S. Federal income tax consequences and any risk factors or other special considerations applicable to those securities. To the extent that any statement that we make in a prospectus supplement is inconsistent with statements made in this prospectus or in documents incorporated by reference in this prospectus, you should rely on the information in the prospectus supplement. You should carefully read both this prospectus and any prospectus supplement together with the additional information described under “Where You Can Find More Information” before buying any securities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to “we,” “our,” “us,” “NIKI” or the “Company” in this prospectus mean NIKI BIOSOLUTIONS, INC., a Delaware corporation, on a consolidated basis with its wholly owned subsidiaries, including DiamiR, as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2"/>
      <w:bookmarkEnd w:id="16"/>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and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our management’s beliefs and assumptions and on information currently available to our management. Such forward-looking statements include those that express plans, anticipation, intent, contingency, goals, targets or future development and/or otherwise are not statements of historical 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prospectus and the documents and information incorporated by reference in this prospectus that are not historical facts are forward-looking statements. We may, in some cases, use terms such as “anticipates,” “believes,” “could,” “estimates,” “expects,” “intends,” “may,” “plans,” “potential,” “predicts,” “projects,” “should,” “will,” “would” or similar expressions or the negative of such items that convey uncertainty of future events or outcomes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initiation, timing, progress and results of our preclinical and clinical trials, and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sz w:val="20"/>
              </w:rPr>
            </w:pPr>
            <w:r>
              <w:rPr>
                <w:sz w:val="20"/>
              </w:rPr>
              <w:t>our ability to advance our drug candidates into, and successfully complete,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sz w:val="20"/>
              </w:rPr>
            </w:pPr>
            <w:r>
              <w:rPr>
                <w:sz w:val="20"/>
              </w:rPr>
              <w:t>our ability to identify and develop new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reliance on the success of our drug candidates currently undergoing preclinical development; in particular, our Lead Project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the timing or likelihood of regulatory filings and approvals;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the commercialization of our drug and device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our ability to develop sales and marketing capabilities;</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sz w:val="20"/>
              </w:rPr>
            </w:pPr>
            <w:r>
              <w:rPr>
                <w:sz w:val="20"/>
              </w:rPr>
              <w:t>the pricing and reimbursement of our drug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the implementation of our business model, strategic plans for our business and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scope of protection we are able to establish and maintain for IP rights covering our drug and device candidates and technology;</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our ability to operate our business without infringing the IP rights and proprietary technology of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sz w:val="20"/>
              </w:rPr>
            </w:pPr>
            <w:r>
              <w:rPr>
                <w:sz w:val="20"/>
              </w:rPr>
              <w:t>costs associated with defending IP infringement, product liability and other claims;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sz w:val="20"/>
              </w:rPr>
            </w:pPr>
            <w:r>
              <w:rPr>
                <w:sz w:val="20"/>
              </w:rPr>
              <w:t>regulatory development in the U.S., Europe and PRC and other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sz w:val="20"/>
              </w:rPr>
            </w:pPr>
            <w:r>
              <w:rPr>
                <w:sz w:val="20"/>
              </w:rPr>
              <w:t>estimates of our expenses, future revenues, capital requirements and our needs for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potential benefits of strategic collaboration agreements and our ability to enter into strategic arrangements;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maintain and establish collaborations or obtain additional grant funding; the rate and degree of market acceptance of our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sz w:val="20"/>
              </w:rPr>
            </w:pPr>
            <w:r>
              <w:rPr>
                <w:sz w:val="20"/>
              </w:rPr>
              <w:t>developments relating to our competitors and industry, including competing therapies;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sz w:val="20"/>
              </w:rPr>
            </w:pPr>
            <w:r>
              <w:rPr>
                <w:sz w:val="20"/>
              </w:rPr>
              <w:t>our ability to effectively manage our anticipated growth;</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sz w:val="20"/>
              </w:rPr>
            </w:pPr>
            <w:r>
              <w:rPr>
                <w:sz w:val="20"/>
              </w:rPr>
              <w:t>our ability to attract and retain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statements regarding future revenue, hiring plans, expenses, capital expenditures, capital requirements and share performance;</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the future trading price of our Common Stock and impact of securities analysts’ reports on these prices;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other risks and uncertainties, including those listed under the caption “Risk Factors.”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under the section “Risk Factors” included herein and in other reports filed by the Company, including reports on Form 8-K. The Company does not undertake any duty to update forward-looking statements after the date they are made, except as required by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PROSPECTUS SUMMARY</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bookmarkStart w:id="17" w:name="a_003"/>
      <w:bookmarkEnd w:id="17"/>
      <w:r>
        <w:rPr>
          <w:rFonts w:ascii="Times New Roman;Times;Serif" w:hAnsi="Times New Roman;Times;Serif"/>
          <w:b/>
          <w:i w:val="false"/>
          <w:caps w:val="false"/>
          <w:smallCaps w:val="false"/>
          <w:sz w:val="20"/>
          <w:bdr w:val="single" w:sz="12" w:space="1" w:color="000000"/>
        </w:rPr>
        <w:t>ABOUT NIKI</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July 20, 2026 (the “Closing Date”), after obtaining the requisite shareholder approval and satisfying the closing conditions, Niki BioSolutions, Inc. (formerly known as Aptorum Group Limited, a Cayman Islands exempted company with limited liability (“Aptorum”)) consummated its previously announced merger (the “Closing”) pursuant to that certain Agreement and Plan of Merger on July 14, 2025, (the “Merger Agreement”), between Aptorum and DiamiR Biosciences Corp., a Delaware corporation (“DiamiR”), pursuant to which, among other matters, Aptorum was to form a direct, wholly owned subsidiary in the state of Delaware (“Merger Sub”).</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terms of the Merger Agreement,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or “Business Combination”). As part of the Domestication, Aptorum changed its name to Niki BioSolutions, Inc. (the “Company” or “Niki”) and filed Niki’s Certificate of Incorporation with the Delaware Secretary of State, which replaced Aptorum’s memorandum and articles in effect as of such time. In connection with the Merger, the Common Stock, trades on Nasdaq under the symbol “NIKI”. In connection with the name change, the CUSIP number for the Common Stock is </w:t>
      </w:r>
      <w:r>
        <w:rPr>
          <w:rFonts w:ascii="Times New Roman;Times;Serif" w:hAnsi="Times New Roman;Times;Serif"/>
          <w:b w:val="false"/>
          <w:i/>
          <w:caps w:val="false"/>
          <w:smallCaps w:val="false"/>
          <w:sz w:val="20"/>
          <w:bdr w:val="single" w:sz="12" w:space="1" w:color="000000"/>
        </w:rPr>
        <w:t>653942 102</w:t>
      </w:r>
      <w:r>
        <w:rPr>
          <w:rFonts w:ascii="Times New Roman;Times;Serif" w:hAnsi="Times New Roman;Times;Serif"/>
          <w:b w:val="false"/>
          <w:i w:val="false"/>
          <w:caps w:val="false"/>
          <w:smallCaps w:val="false"/>
          <w:sz w:val="20"/>
          <w:bdr w:val="single" w:sz="12" w:space="1" w:color="000000"/>
        </w:rPr>
        <w:t>.</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Following the Domestication, each of Aptorum’s then issued and outstanding Class A ordinary share, par value $0.00001 per share (the “Aptorum Class A ordinary shares”) converted automatically, on a one-for-one basis, into a share of our Common Stock, and each then issued and outstanding Class B ordinary share of Aptorum converted automatically into a share of our Common Stock and a share of Niki’s non-voting and non-convertible Series A preferred stock (the “Series A Preferred Stock”).</w:t>
      </w:r>
    </w:p>
    <w:p>
      <w:pPr>
        <w:pStyle w:val="TextBody"/>
        <w:shd w:fill="FFFFFF" w:val="clear"/>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Merger, each then-outstanding share of DiamiR’s common stock was converted into a number of shares of our Common Stock equal to the Conversion Ratio, which was the number resulting from dividing (i) 0.4102, which is the quotient of dividing the total number of Aptorum’s Class A ordinary shares on a fully diluted basis by the total number of shares of DiamiR common stock on a fully diluted basis, by (ii) three-sevenths (3/7). Following the Merger, DiamiR became a wholly owned subsidiary of Niki.</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Niki BioSolutions is a clinical-stage life sciences company focused on unmet medical needs and high-quality genomic and biomarker testing solutions to healthcare providers, research institutions, and life sciences organizations through its CLIA-certified, CAP-accredited laboratory. The company combines proprietary technologies with a commitment to scientific rigor to support precision medicine across a range of therapeutic areas, including brain health and oncology. Niki BioSolutions collaborates with leading academic centers, disease foundations, and biopharma companies.</w:t>
      </w:r>
    </w:p>
    <w:p>
      <w:pPr>
        <w:pStyle w:val="TextBody"/>
        <w:shd w:fill="FFFFFF" w:val="clear"/>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Common Stock is currently listed on The Nasdaq Capital Market under the symbol “NIKI.”</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rights of holders of our Common Stock are governed by our certificate of incorporation (the “Charter”), our bylaws (the “Bylaws”) and the Delaware General Corporation Law (the “DGCL”).</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principal executive offices are located at 116 Village Boulevard, Suite 200, Princeton, NJ 08540. Our telephone number is (609)-951-2222.</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Risks Associated with being based in Hong Kong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subject to certain legal and operational risks associated with having our principal business operations and the majority of our employees located in Hong Kong. Hong Kong was established as a special administrative region of the PRC in accordance with Article 31 of the Constitution of the PRC. The Basic Law of the Hong Kong Special Administrative Region of the PRC (the “Basic Law”) was adopted and promulgated on April 4, 1990 and became effective on July 1, 1997, when the PRC resumed the exercise of sovereignty over Hong Kong. Pursuant to the Basic Law, Hong Kong is authorized by the National People’s Congress of the PRC to exercise a high degree of autonomy and enjoy executive, legislative, and independent judicial power, under the principle of “one country, two systems,” and the PRC laws and regulations shall not be applied in Hong Kong except for those listed in Annex III of the Basic Law (which is confined to laws relating to national defense, foreign affairs, and other matters that are not within the scope of autonomy). However, there is no assurance that there will not be any changes in the economic, political, and legal environment in Hong Kong. Due to the uncertainty of the PRC legal system and changes in laws, regulations, or policies, the Basic Law may be revised, and thus, we face the same legal and operational risks associated with operating in the PRC. Our Hong Kong subsidiaries are subject to PRC laws or authorities and as a result, our operations in Hong Kong could incur material costs to ensure compliance, be subject to fines, experience devaluation of securities or delisting, no longer conduct offerings to foreign investors, and no longer be permitted to continue their current business operations.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Our subsidiaries’ business, our financial condition and results of operations, and/or the value of our Common Stock or our ability to offer or continue to offer securities to investors may be materially and adversely affected by existing or future PRC laws and regulations.”</w:t>
      </w:r>
      <w:r>
        <w:rPr>
          <w:rFonts w:ascii="Times New Roman;Times;Serif" w:hAnsi="Times New Roman;Times;Serif"/>
          <w:b w:val="false"/>
          <w:i w:val="false"/>
          <w:caps w:val="false"/>
          <w:smallCaps w:val="false"/>
          <w:sz w:val="20"/>
          <w:bdr w:val="single" w:sz="12" w:space="1" w:color="000000"/>
        </w:rPr>
        <w:t xml:space="preserve"> on page 54.</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On February 17, 2023, the China Securities Regulatory Commission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Based on the assessment conducted by the management, we are not subject to the Trial Measures, because we are incorporated in the State of Delaware and our subsidiaries are incorporated in Hong Kong, the British Virgin Islands and other regions outside of mainland China and operate in Hong Kong without any subsidiary,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future secondary offerings, and listing. If we are subject to the filing requirements, we cannot assure you that we will be able to complete such filings in a timely manner or even at all.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If we and/or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Times;Serif" w:hAnsi="Times New Roman;Times;Serif"/>
          <w:b w:val="false"/>
          <w:i w:val="false"/>
          <w:caps w:val="false"/>
          <w:smallCaps w:val="false"/>
          <w:sz w:val="20"/>
          <w:bdr w:val="single" w:sz="12" w:space="1" w:color="000000"/>
        </w:rPr>
        <w:t>” on page 49.</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Hong Kong subsidiaries’ operations and/or the value of the securities we are registering for sale. The Competition Ordinance (Cap. 619 of the Laws of Hong Kong) prohibits and deters undertakings in all sectors from adopting anti-competitive conduct which has the object or effect of preventing, restricting, or distorting competition in Hong Kong. It provides for general prohibitions in three major areas of anti-competitive conduct described as the first conduct rule, the second conduct rule, and the merger rule. As of the date of this prospectus, we and the Hong Kong subsidiaries have complied with all three areas of anti-competition laws and requirements in Hong Kong. The antimonopoly laws and regulations in Hong Kong do not restrict our ability to accept foreign investment or impose limitations on our ability to list on any U.S. stock exchange. See “</w:t>
      </w:r>
      <w:r>
        <w:rPr>
          <w:rFonts w:ascii="Times New Roman;Times;Serif" w:hAnsi="Times New Roman;Times;Serif"/>
          <w:b w:val="false"/>
          <w:i/>
          <w:caps w:val="false"/>
          <w:smallCaps w:val="false"/>
          <w:sz w:val="20"/>
          <w:bdr w:val="single" w:sz="12" w:space="1" w:color="000000"/>
        </w:rPr>
        <w:t>Risk Factors — Risks Related to Doing Business in the Jurisdictions in which Our Operating Subsidiaries Operate — 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Times;Serif" w:hAnsi="Times New Roman;Times;Serif"/>
          <w:b w:val="false"/>
          <w:i w:val="false"/>
          <w:caps w:val="false"/>
          <w:smallCaps w:val="false"/>
          <w:sz w:val="20"/>
          <w:bdr w:val="single" w:sz="12" w:space="1" w:color="000000"/>
        </w:rPr>
        <w:t>” on page 51.</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In addition, our Common Stock may be prohibited from trading on a national exchange or over-the-counter under the Holding Foreign Companies Accountable Act (the “HFCA Act”) if the Public Company Accounting Oversight Board (United States) (the “PCAOB”) is unable to inspect our auditors for three consecutive years beginning in 2021. Our current independent accounting firm, Marcum Asia CPAs LLP, whose audit report is included herein, is headquartered in Manhattan, New York, with an address of 7 Penn Plaza, Suite 830, New York, New York 10001, as an auditor of companies that are traded publicly in the United States and a firm registered with the PCAOB, is subject to laws in the United States pursuant to which the PCAOB conducts regular inspections to assess its compliance with the applicable professional standards, announced by the PCAOB on December 16, 2021. If trading in our Common Stock is prohibited under the HFCA Act because the PCAOB determines that it cannot inspect or fully investigate our auditor at such future time, Nasdaq may determine to delist our Common stock and trading in our Common stock could be prohibited.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 Act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 See “</w:t>
      </w:r>
      <w:r>
        <w:rPr>
          <w:rFonts w:ascii="Times New Roman;Times;Serif" w:hAnsi="Times New Roman;Times;Serif"/>
          <w:b w:val="false"/>
          <w:i/>
          <w:caps w:val="false"/>
          <w:smallCaps w:val="false"/>
          <w:sz w:val="20"/>
          <w:bdr w:val="single" w:sz="12" w:space="1" w:color="000000"/>
        </w:rPr>
        <w:t>Risk Factors — 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Times;Serif" w:hAnsi="Times New Roman;Times;Serif"/>
          <w:b w:val="false"/>
          <w:i w:val="false"/>
          <w:caps w:val="false"/>
          <w:smallCaps w:val="false"/>
          <w:sz w:val="20"/>
          <w:bdr w:val="single" w:sz="12" w:space="1" w:color="000000"/>
        </w:rPr>
        <w:t>.” on page 42.</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After a thorough review of applicable laws and regulations, we have concluded that other than our business registration from Inland Revenue Department for tax registration,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the Merger Agreement, DiamiR is now one of our wholly owned subsidiaries.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Regulations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shd w:fill="FFFFFF" w:val="clear"/>
        </w:rPr>
      </w:pPr>
      <w:r>
        <w:rPr>
          <w:rFonts w:ascii="Times New Roman;Times;Serif" w:hAnsi="Times New Roman;Times;Serif"/>
          <w:b w:val="false"/>
          <w:i w:val="false"/>
          <w:caps w:val="false"/>
          <w:smallCaps w:val="false"/>
          <w:sz w:val="20"/>
          <w:bdr w:val="single" w:sz="12" w:space="1" w:color="000000"/>
          <w:shd w:fill="FFFFFF" w:val="clear"/>
        </w:rPr>
        <w:t>This section sets forth a summary of the most significant rules and regulations that affect our business activities in China or the rights of our stockholders to receive dividends and other distributions from us.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PRC government may intervene or influence our operations in Hong Kong at any time and with no advance notice. Therefore, below is a brief summary of material regulations that may impact our business or operations, including if we seek IP approval in the PRC. As of the date hereof, we do have an exclusive license of certain PRC patents directed to certain drug candidates.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1" w:color="000000"/>
        </w:rPr>
      </w:pPr>
      <w:r>
        <w:rPr>
          <w:rFonts w:ascii="Times New Roman;Times;Serif" w:hAnsi="Times New Roman;Times;Serif"/>
          <w:b w:val="false"/>
          <w:i/>
          <w:caps w:val="false"/>
          <w:smallCaps w:val="false"/>
          <w:sz w:val="20"/>
          <w:bdr w:val="single" w:sz="12" w:space="1" w:color="000000"/>
        </w:rPr>
        <w:t>Permission Required from the PRC Authorities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of the date hereof, we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Nevertheless, we are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 Chinese companies listed overseas using a VIE structure, adopting new measures to extend the scope of cybersecurity reviews, and expanding the efforts in anti-monopoly enforcement.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our daily business operations, its ability to accept foreign investments and the listing of our Common Stock on a U.S. or other foreign exchange. The Chinese government may currently intervene in or influence our operations at any time, including operations in Hong Kong, which could result in a material change in our operations and/or the value of our securities or could significantly limit or completely hinder our ability to offer or continue to offer securities to investors and cause the value of our Common Stock to significantly decline or become worthless. (Please see the risk factor section, “Risks Related to our Corporate Structure” and “Risks Related to Doing Business in Hong Kong” for more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Hong Kong Regulation</w:t>
      </w:r>
    </w:p>
    <w:p>
      <w:pPr>
        <w:pStyle w:val="TextBody"/>
        <w:bidi w:val="0"/>
        <w:spacing w:before="0" w:after="0"/>
        <w:ind w:left="48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operations of laboratory in Hong Kong are subject to certain general laws and regulations.</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12" w:space="1" w:color="000000"/>
        </w:rPr>
      </w:pPr>
      <w:r>
        <w:rPr>
          <w:rFonts w:ascii="Times New Roman;Times;Serif" w:hAnsi="Times New Roman;Times;Serif"/>
          <w:b/>
          <w:i/>
          <w:caps w:val="false"/>
          <w:smallCaps w:val="false"/>
          <w:sz w:val="20"/>
          <w:bdr w:val="single" w:sz="12" w:space="1" w:color="000000"/>
        </w:rPr>
        <w:t>Waste Disposal Ordinance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Waste Disposal Ordinance (Chapter 354 of the Laws of Hong Kong) (“WDO”) and the Waste Disposal (Clinical Waste) (General) Regulation (Chapter 354O of the Laws of Hong Kong) (the “WDR”) provide for, among others, the control and regulation of the production, storage, collection and disposal of clinical waste.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Under the WDO, clinical waste means waste consisting of any substance, matter or thing generated in connection with:</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4195" w:type="dxa"/>
        <w:jc w:val="left"/>
        <w:tblInd w:w="0" w:type="dxa"/>
        <w:tblLayout w:type="fixed"/>
        <w:tblCellMar>
          <w:top w:w="0" w:type="dxa"/>
          <w:left w:w="0" w:type="dxa"/>
          <w:bottom w:w="0" w:type="dxa"/>
          <w:right w:w="0" w:type="dxa"/>
        </w:tblCellMar>
      </w:tblPr>
      <w:tblGrid>
        <w:gridCol w:w="75"/>
        <w:gridCol w:w="170"/>
        <w:gridCol w:w="3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dental, medical, nursing or veterinary practice;</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practice, or establishment (howsoever described), that provides medical care and services for the sick, injured, infirm or those who require medical treatment;</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6745" w:type="dxa"/>
        <w:jc w:val="left"/>
        <w:tblInd w:w="0" w:type="dxa"/>
        <w:tblLayout w:type="fixed"/>
        <w:tblCellMar>
          <w:top w:w="0" w:type="dxa"/>
          <w:left w:w="0" w:type="dxa"/>
          <w:bottom w:w="0" w:type="dxa"/>
          <w:right w:w="0" w:type="dxa"/>
        </w:tblCellMar>
      </w:tblPr>
      <w:tblGrid>
        <w:gridCol w:w="75"/>
        <w:gridCol w:w="170"/>
        <w:gridCol w:w="6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dental, medical, nursing, veterinary, pathological or pharmaceutical research; or</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5485" w:type="dxa"/>
        <w:jc w:val="left"/>
        <w:tblInd w:w="0" w:type="dxa"/>
        <w:tblLayout w:type="fixed"/>
        <w:tblCellMar>
          <w:top w:w="0" w:type="dxa"/>
          <w:left w:w="0" w:type="dxa"/>
          <w:bottom w:w="0" w:type="dxa"/>
          <w:right w:w="0" w:type="dxa"/>
        </w:tblCellMar>
      </w:tblPr>
      <w:tblGrid>
        <w:gridCol w:w="75"/>
        <w:gridCol w:w="170"/>
        <w:gridCol w:w="5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dental, medical, veterinary or pathological laboratory practice,</w:t>
            </w:r>
          </w:p>
        </w:tc>
      </w:tr>
    </w:tbl>
    <w:p>
      <w:pPr>
        <w:pStyle w:val="TextBody"/>
        <w:bidi w:val="0"/>
        <w:spacing w:before="0" w:after="0"/>
        <w:ind w:left="48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and which consists wholly or partly of any of the materials specified in one or more of the groups listed below:</w:t>
      </w:r>
    </w:p>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2635" w:type="dxa"/>
        <w:jc w:val="left"/>
        <w:tblInd w:w="0" w:type="dxa"/>
        <w:tblLayout w:type="fixed"/>
        <w:tblCellMar>
          <w:top w:w="0" w:type="dxa"/>
          <w:left w:w="0" w:type="dxa"/>
          <w:bottom w:w="0" w:type="dxa"/>
          <w:right w:w="0" w:type="dxa"/>
        </w:tblCellMar>
      </w:tblPr>
      <w:tblGrid>
        <w:gridCol w:w="75"/>
        <w:gridCol w:w="170"/>
        <w:gridCol w:w="23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used or contaminated sharps;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675" w:type="dxa"/>
        <w:jc w:val="left"/>
        <w:tblInd w:w="0" w:type="dxa"/>
        <w:tblLayout w:type="fixed"/>
        <w:tblCellMar>
          <w:top w:w="0" w:type="dxa"/>
          <w:left w:w="0" w:type="dxa"/>
          <w:bottom w:w="0" w:type="dxa"/>
          <w:right w:w="0" w:type="dxa"/>
        </w:tblCellMar>
      </w:tblPr>
      <w:tblGrid>
        <w:gridCol w:w="75"/>
        <w:gridCol w:w="170"/>
        <w:gridCol w:w="1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laboratory waste;</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2425" w:type="dxa"/>
        <w:jc w:val="left"/>
        <w:tblInd w:w="0" w:type="dxa"/>
        <w:tblLayout w:type="fixed"/>
        <w:tblCellMar>
          <w:top w:w="0" w:type="dxa"/>
          <w:left w:w="0" w:type="dxa"/>
          <w:bottom w:w="0" w:type="dxa"/>
          <w:right w:w="0" w:type="dxa"/>
        </w:tblCellMar>
      </w:tblPr>
      <w:tblGrid>
        <w:gridCol w:w="75"/>
        <w:gridCol w:w="170"/>
        <w:gridCol w:w="21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human and animal tissues;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930" w:type="dxa"/>
        <w:jc w:val="left"/>
        <w:tblInd w:w="0" w:type="dxa"/>
        <w:tblLayout w:type="fixed"/>
        <w:tblCellMar>
          <w:top w:w="0" w:type="dxa"/>
          <w:left w:w="0" w:type="dxa"/>
          <w:bottom w:w="0" w:type="dxa"/>
          <w:right w:w="0" w:type="dxa"/>
        </w:tblCellMar>
      </w:tblPr>
      <w:tblGrid>
        <w:gridCol w:w="75"/>
        <w:gridCol w:w="170"/>
        <w:gridCol w:w="16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infectious materials;</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1435" w:type="dxa"/>
        <w:jc w:val="left"/>
        <w:tblInd w:w="0" w:type="dxa"/>
        <w:tblLayout w:type="fixed"/>
        <w:tblCellMar>
          <w:top w:w="0" w:type="dxa"/>
          <w:left w:w="0" w:type="dxa"/>
          <w:bottom w:w="0" w:type="dxa"/>
          <w:right w:w="0" w:type="dxa"/>
        </w:tblCellMar>
      </w:tblPr>
      <w:tblGrid>
        <w:gridCol w:w="75"/>
        <w:gridCol w:w="170"/>
        <w:gridCol w:w="11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dressings; and</w:t>
            </w:r>
          </w:p>
        </w:tc>
      </w:tr>
    </w:tbl>
    <w:p>
      <w:pPr>
        <w:pStyle w:val="TextBody"/>
        <w:bidi w:val="0"/>
        <w:spacing w:before="0" w:after="0"/>
        <w:ind w:left="960" w:right="0" w:hanging="480"/>
        <w:jc w:val="both"/>
        <w:rPr>
          <w:caps w:val="false"/>
          <w:smallCaps w:val="false"/>
          <w:bdr w:val="single" w:sz="12" w:space="1" w:color="000000"/>
        </w:rPr>
      </w:pPr>
      <w:r>
        <w:rPr>
          <w:caps w:val="false"/>
          <w:smallCaps w:val="false"/>
          <w:bdr w:val="single" w:sz="12" w:space="1" w:color="000000"/>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such other wastes as specified by the Director of the Environmental Protection Department (“EPD”) of Hong Kong.</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Given the research works in our R&amp;D Center may produce used or contaminated sharps such as syringes and needles as well as dressings, we are subject to WDO, WDR and the Code of Practice.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How Cash is Transferred Through Our Corporate Organization</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Up through September 16, 2026, we have transferred the noted amount to the referenced subsidiary:</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64,309,272.68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Medical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1,673,592.92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17,635,261.58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5,218,255.31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Claves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Signate Life Sciences Ltd</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finance department is responsible for establishing the cash management policies and procedures among our departments and the operating entities. Majority of the cash are managed by us.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prospectus, neither we nor any of our subsidiaries have ever paid dividends or made distributions to U.S. investors any return on investment may be limited to the value of our common stock. We plan to retain any future earnings to finance growth. Save as disclosed, there were no other transfers, dividends or distributions which have been made between our holding company, our subsidiaries or to our investors. If we determine to pay dividends on any of our common stock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prospectus, neither Libra nor any of our subsidiaries nor investments have ever issued any dividends or distributions to us or their respective shareholders outside of China.</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Variable Interest Entity</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hold a 97.27% economic interest and 31.51% voting power in Libra, while Nautilus International Group Limited (an independent third party) (“Nautilus”) holds 68.26% of Libra’s voting power. Our economic interest is based on owning 7,700,000 shares of Libra’s Class A Common Stock and our voting power is based on the combination of those shares and 2,000,000 shares of Libra’s Class B Common Stock that we own. Each share of Libra’s Class A Common Stock is entitled to one vote and each share of Libra’s Class B Common Stock is entitled to ten votes. We do not consider ourselves to be the primary beneficiary over Libra and therefore do not currently consolidate Libra into our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We continually reassesses whether we are the primary beneficiary of a VIE throughout the entire period we are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 See “Risk Factors — Risks Related to Our Corporate Structure” and “Risk Factors — Risks Relating to Doing Business in Hong Kong”.</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Implications of Being a Smaller Reporting Company</w:t>
      </w:r>
      <w:r>
        <w:rPr>
          <w:rFonts w:ascii="Times New Roman;Times;Serif" w:hAnsi="Times New Roman;Times;Serif"/>
          <w:b w:val="false"/>
          <w:i w:val="false"/>
          <w:caps w:val="false"/>
          <w:smallCaps w:val="false"/>
          <w:sz w:val="20"/>
          <w:bdr w:val="single" w:sz="12" w:space="1" w:color="000000"/>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4"/>
      <w:bookmarkEnd w:id="18"/>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the risks, uncertainties and other factors described below. In the following paragraphs, the Company describes some of the principal risks and uncertainties that could adversely affect its business, results of operations, financial condition (including capital and liquidity), or prospects or the value of or return on an investment in the Company. These risks and uncertainties, however, are not the only ones faced by the Company. Other risks and uncertainties that are not presently known to the Company that it has failed to identify, or that it currently considers immaterial may adversely affect the Company as well. Except where otherwise noted, the risk factors address risks and uncertainties that may affect the Company as well as its subsidiaries, including DiamiR.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never generated revenue from product sales and all of DiamiR’s product candidates are currently in the pre-commercial stage, and DiamiR may continue to incur significant losses for the foreseeable future and never generate revenue from product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substantial doubt about DiamiR’s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auditor have indicated in their audit opinion there is substantial doubt as to DiamiR’s ability to continue as a going concern in their audit report on its audited financial statements for the year ended May 31, 2026.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raise additional capital, our ability to implement our business model and strategy could be compromised.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capital resources and operations. To date, DiamiR’s operations have been funded entirely from the proceeds from equity financings, loans from shareholders or grants and we expect to require substantial additional capital in the near future to develop and market new products, services and technologies for the Company and our subsidiaries, as well as for funding expenses for research and development (“R&amp;D), and compensation of our executive management and employees. These projected operating expenses are based solely on our rough estimates and do not include any extraordinary items or expenditures, which may be incurred from time to time during the course of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if we do not receive additional financing in the future, we may be unable to carry out our full business plan. We do not currently have any commitments for financing to meet our expected needs and we may not be able to obtain additional financing on terms acceptable to it, or at all. Even if we obtain financing for our near-term operations and product development, we expect that we will require additional capital beyond the near term. If we are unable to raise capital when needed, our business, financial condition and results of operations would be materially adversely affected, and we could be forced to reduce or discontinue ou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borrow money to expand our business, the likelihood that investors may lose some or all of their investment may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may incur debt for financing ours growth. Our ability to borrow funds will depend upon a number of factors, including the condition of the financial markets. If we receive debt financing, we will have priority in any liquidation over the claims of holders of our stockholders, which could increase the risk of loss of your investment. In addition, our payment obligations with respect to any indebtedness could divert funds away from our operations, marketing and product development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the Company’s Charter and Bylaws and under Delaware law could make an acquisition of the Company, which may be beneficial to its stockholders, more difficult and may prevent attempts by its stockholders to replace or remove the Company’s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Charter and Bylaws, as well as the DGCL contains provisions that could make it more difficult for a third party to acquire the Company, even if doing so might be beneficial to the Company’s stockholders. Among other things, these provisions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allow the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at any time, directors may only be removed with or without cause, and only by the affirmative vote of holders of a majority in voting power of all the then-outstanding shares of Company Common Stock entitled to vote thereon, voting together as a single class;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special meetings may only be called by or at the direction of the Chairman of the Company Board, the Company Board or the Chief Executive Officer or president or upon the written request by a majority of the shareholders entitled to vote;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that any alteration, amendment or repeal, in whole or in part, of any provision of the Proposed Bylaws by Company’s stockholders will require the affirmative vote of the holders of at least 66&amp;frac23;% in voting power of all the then-outstanding shares of the Company Common Stock entitled to vote thereon, voting together as a single class;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advance notice requirements for nominations for elections to the Company Board and for proposing matters that can be acted upon by stockholders at stockholder meetings.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generally prohibits a Delaware corporation from engaging in any of a broad range of business combinations with any interested stockholder for a period of three years following the date on which the stockholder became an interested stockholder. The Company has expressly elected not to be governed by Section 203 of the DGCL. At that time, such election shall be automatically withdrawn and Company will thereafter be governed by Section 203 of the DGCL. These provisions could discourage, delay or prevent a transaction involving a change in control of Company. These provisions could also discourage proxy contests and make it more difficult for Company’s stockholders to elect directors of their choosing and cause Company to take other corporate actions they desire, including actions that Company’s stockholders may deem advantageous. In addition, because the Company Board is responsible for appointing the members of Company’s management team, these provisions could in turn affect any attempt by Company’s stockholders to replace current members of Company’s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anti-takeover provisions and other provisions in the Charter, Bylaws and Delaware law could make it more difficult for stockholders or potential acquirors to obtain control of the Company Board or initiate actions that are opposed by Company’s then-current board of directors and could also delay or impede a merger, tender offer or proxy contest involving Company. The existence of these provisions could negatively affect the price of Company Common Stock and limit opportunities for a stockholder to realize value in a corporate transaction. In addition, if prospective takeovers are not consummated for any reason, Company may experience negative reactions from the financial markets, including negative impacts on the price of Company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designates the Court of Chancery of the State of Delaware as the exclusive forum for certain litigation that may be initiated by Company’s stockholders and the federal district courts of the United States as the exclusive forum for litigation arising under the Securities Act, which could limit Company’s stockholders’ ability to obtain a favorable judicial forum for disputes with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current Charter,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Company’s behalf; (ii) any action asserting a claim of breach of a fiduciary duty owed by any of Company’s current or former directors, officers, employees or stockholders to Company or its stockholders; (iii) any action asserting a claim against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Company or any of its current or former directors, officers, employees or stockholders as to which the DGCL confers jurisdiction to the Court of Chancery of the State of Delaware and (vi) 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Charter will also provide that, unless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Company Common Stock is deemed to have notice of and consented to the provisions of the Proposed Charter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forum selection provisions in the Proposed Charter may have the effect of discouraging lawsuits against the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Company’s forum selection provisions were to be challenged, it may incur additional costs associated with resolving such challenge. While the Company currently has no basis to expect any such challenge would be successful, if a court were to find its forum selection provisions to be inapplicable or unenforceable with respect to one or more of these specified types of actions or proceedings, the Company may incur additional costs associated with having to litigate in other jurisdictions, which could result in a diversion of the time and resources of the Company’s employees, management and board of directors, and could have an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Preclinical and Clinical Development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generate revenue from product sales and may never become profitable; unless we can raise more capital through additional financings, of which there can be no guarantee.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 obtain necessary regulatory approvals, and have our drugs products under development manufactured and successfully marketed, of which there can be no guarantee. We may not be able to generate a profit until our drug candidates become profitable.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receive regulatory approval and marketing authorization for one or more of our drug candidates or one or more of any future drug candidates for commercial sale, a potential product may not generate revenue at all unless we are successful in: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 sustainable and scalable manufacturing process for our drug candidates and any approved products, including establishing and maintaining commercially viable supply relationships with third 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launching and commercializing drug candidates following regulatory approvals and marketing authorizations, either directly or with a collaborator or distributor;</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75"/>
        <w:gridCol w:w="170"/>
        <w:gridCol w:w="6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market acceptance of our drug candidates as viable treatment options;</w:t>
            </w:r>
          </w:p>
        </w:tc>
      </w:tr>
    </w:tbl>
    <w:p>
      <w:pPr>
        <w:pStyle w:val="TextBody"/>
        <w:bidi w:val="0"/>
        <w:spacing w:before="0" w:after="0"/>
        <w:ind w:left="960" w:right="0" w:hanging="480"/>
        <w:jc w:val="both"/>
        <w:rPr>
          <w:caps w:val="false"/>
          <w:smallCaps w:val="false"/>
        </w:rPr>
      </w:pPr>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75"/>
        <w:gridCol w:w="170"/>
        <w:gridCol w:w="55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addressing any competing technological and market developments;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negotiating and maintaining favorable terms in any collaboration, licensing or other arrangement into which we may enter to commercialize drug candidates for which we have obtained required approvals and marketing authorizations; and</w:t>
            </w:r>
          </w:p>
        </w:tc>
      </w:tr>
    </w:tbl>
    <w:p>
      <w:pPr>
        <w:pStyle w:val="TextBody"/>
        <w:bidi w:val="0"/>
        <w:spacing w:before="0" w:after="0"/>
        <w:ind w:left="960" w:right="0" w:hanging="48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maintaining, protecting and expanding our portfolio of IP rights, including patents, trade secrets and know-how.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our common stock, which could impair our ability to raise capital, expand our business or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Preclinical development is a long, expensive and uncertain process, and we may terminate one or more of our current preclinical development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Times;Serif" w:hAnsi="Times New Roman;Times;Serif"/>
          <w:b w:val="false"/>
          <w:i/>
          <w:caps w:val="false"/>
          <w:smallCaps w:val="false"/>
          <w:sz w:val="20"/>
        </w:rPr>
        <w:t>http://www.totalbiopharma.com/2012/07/04/4-key-benefits-drug-repositioning/</w:t>
      </w:r>
      <w:r>
        <w:rPr>
          <w:rFonts w:ascii="Times New Roman;Times;Serif" w:hAnsi="Times New Roman;Times;Serif"/>
          <w:b w:val="false"/>
          <w:i w:val="false"/>
          <w:caps w:val="false"/>
          <w:smallCaps w:val="false"/>
          <w:sz w:val="20"/>
        </w:rPr>
        <w:t xml:space="preserve">). Despite the huge expenditures, only 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Times;Serif" w:hAnsi="Times New Roman;Times;Serif"/>
          <w:b w:val="false"/>
          <w:i/>
          <w:caps w:val="false"/>
          <w:smallCaps w:val="false"/>
          <w:sz w:val="20"/>
        </w:rPr>
        <w:t>https://academic.oup.com/biostatistics/article/20/2/273/4817524</w:t>
      </w:r>
      <w:r>
        <w:rPr>
          <w:rFonts w:ascii="Times New Roman;Times;Serif" w:hAnsi="Times New Roman;Times;Serif"/>
          <w:b w:val="false"/>
          <w:i w:val="false"/>
          <w:caps w:val="false"/>
          <w:smallCaps w:val="false"/>
          <w:sz w:val="20"/>
        </w:rPr>
        <w:t xml:space="preserve">). Even after a drug is commercialized, there are just too many 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Times;Serif" w:hAnsi="Times New Roman;Times;Serif"/>
          <w:b w:val="false"/>
          <w:i/>
          <w:caps w:val="false"/>
          <w:smallCaps w:val="false"/>
          <w:sz w:val="20"/>
        </w:rPr>
        <w:t>https://hbr.org/2014/11/the-real-cost-of-high-priced-drugs</w:t>
      </w:r>
      <w:r>
        <w:rPr>
          <w:rFonts w:ascii="Times New Roman;Times;Serif" w:hAnsi="Times New Roman;Times;Serif"/>
          <w:b w:val="false"/>
          <w:i w:val="false"/>
          <w:caps w:val="false"/>
          <w:smallCaps w:val="false"/>
          <w:sz w:val="20"/>
        </w:rPr>
        <w:t>). We may determine that certain preclinical product candidates or programs do not have sufficient potential to warrant the allocation of resources toward them. Accordingly, we may elect to terminate our programs for and, in certain 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has discretion to terminate the development of any of our projects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70"/>
        <w:gridCol w:w="9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research methodology used may not be successful in identifying potential indications and/or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drug candidates may, after further study, be shown to have harmful adverse effects or other characteristics that indicate they are unlikely to be effective drugs;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there can be no assurance that we will ever be able to develop suitable potential drug candidates through internal research programs. This could materially adversely affect our future growth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encounter difficulties enrolling patients in our clinical trials, our clinical development activities could be delayed or otherwise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and nature of the patient population;</w:t>
            </w:r>
          </w:p>
        </w:tc>
      </w:tr>
    </w:tbl>
    <w:p>
      <w:pPr>
        <w:pStyle w:val="TextBody"/>
        <w:bidi w:val="0"/>
        <w:spacing w:before="0" w:after="0"/>
        <w:ind w:left="960" w:right="0" w:hanging="48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75"/>
        <w:gridCol w:w="170"/>
        <w:gridCol w:w="4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patient eligibility criteria defined in the clinical protocol;</w:t>
            </w:r>
          </w:p>
        </w:tc>
      </w:tr>
    </w:tbl>
    <w:p>
      <w:pPr>
        <w:pStyle w:val="TextBody"/>
        <w:bidi w:val="0"/>
        <w:spacing w:before="0" w:after="0"/>
        <w:ind w:left="960" w:right="0" w:hanging="480"/>
        <w:jc w:val="both"/>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study population required for statistical analysis of the trial’s primary endpoints;</w:t>
            </w:r>
          </w:p>
        </w:tc>
      </w:tr>
    </w:tbl>
    <w:p>
      <w:pPr>
        <w:pStyle w:val="TextBody"/>
        <w:bidi w:val="0"/>
        <w:spacing w:before="0" w:after="0"/>
        <w:ind w:left="960" w:right="0" w:hanging="48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170"/>
        <w:gridCol w:w="30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proximity of patients to trial sites;</w:t>
            </w:r>
          </w:p>
        </w:tc>
      </w:tr>
    </w:tbl>
    <w:p>
      <w:pPr>
        <w:pStyle w:val="TextBody"/>
        <w:bidi w:val="0"/>
        <w:spacing w:before="0" w:after="0"/>
        <w:ind w:left="960" w:right="0" w:hanging="48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design of the trial and changes to the design of the trial;</w:t>
            </w:r>
          </w:p>
        </w:tc>
      </w:tr>
    </w:tbl>
    <w:p>
      <w:pPr>
        <w:pStyle w:val="TextBody"/>
        <w:bidi w:val="0"/>
        <w:spacing w:before="0" w:after="0"/>
        <w:ind w:left="960" w:right="0" w:hanging="48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75"/>
        <w:gridCol w:w="170"/>
        <w:gridCol w:w="7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recruit clinical trial investigators with the appropriate competencies and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competing clinical trials for similar therapies or other new therapeutics exist and will reduce the number and types of patients available to us;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clinicians’ and patients’ perceptions as to the potential advantages and side effects of the drug candidate being studied in relation to other available therapies, including any new drugs or treatments that may be approved for the indications we are investigating;</w:t>
            </w:r>
          </w:p>
        </w:tc>
      </w:tr>
    </w:tbl>
    <w:p>
      <w:pPr>
        <w:pStyle w:val="TextBody"/>
        <w:bidi w:val="0"/>
        <w:spacing w:before="0" w:after="0"/>
        <w:ind w:left="960" w:right="0" w:hanging="480"/>
        <w:jc w:val="both"/>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75"/>
        <w:gridCol w:w="170"/>
        <w:gridCol w:w="42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and maintain patient consents;</w:t>
            </w:r>
          </w:p>
        </w:tc>
      </w:tr>
    </w:tbl>
    <w:p>
      <w:pPr>
        <w:pStyle w:val="TextBody"/>
        <w:bidi w:val="0"/>
        <w:spacing w:before="0" w:after="0"/>
        <w:ind w:left="960" w:right="0" w:hanging="48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patients enrolled in clinical trials may not complete a clinical trial; and</w:t>
            </w:r>
          </w:p>
        </w:tc>
      </w:tr>
    </w:tbl>
    <w:p>
      <w:pPr>
        <w:pStyle w:val="TextBody"/>
        <w:bidi w:val="0"/>
        <w:spacing w:before="0" w:after="0"/>
        <w:ind w:left="960" w:right="0" w:hanging="48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70"/>
        <w:gridCol w:w="62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approved therapies that are similar to our drug candidates.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drug development involves a lengthy and expensive process and could fail at any stage of the process. We have limited experience in conducting clinical trials and results of earlier studies and trials may not be reproduced in future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our business, financial condition, cash flows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clinical trials of our drug candidates fail to demonstrate safety and efficacy to the satisfaction of the FDA, NMPA, EMA, Health Canada, CMPR or other comparable regulatory authorities, or do not otherwise produce positive results, we may incur additional costs or experience delays in completing, or ultimately be unable to complete, the development and commercialization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CROs are required to comply with current Good Clinical Practices (“cGCP”) requirements, which are regulations and guidelines enforced by the FDA, NMPA, EMA, Health Canada, CMPR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CMPR or comparable regulatory authorities may require us to perform additional clinical trials before approving our marketing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numerous unexpected events during, or as a result of, clinical trials that could delay or prevent our ability to receive regulatory approval or commercialize our drug candidates,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institutional review boards (“IRBs”) or ethics committees may not authorize us or our investigators to commence a clinical trial or conduct a clinical trial at a prospective trial site;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trials of our drug candidates may produce negative or inconclusive results, and we may decide, or regulators may require us, to conduct additional clinical trials or abandon drug development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patients required for clinical trials of our drug candidates may be larger than we anticipate, enrollment may be insufficient or slower than we anticipate or patients may drop out at a higher rate than we anticipate;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contractors and investigators may fail to comply with regulatory requirements or meet their contractual obligations to us in a timely manner, or at all;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might have to suspend or terminate clinical trials of our drug candidates for various reasons, including a lack of clinical response or a determination that participants are being exposed to unacceptable health risks;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regulators, IRBs or ethics committees may require that we or our investigators suspend or terminate clinical research for various reasons, including non-compliance with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clinical trials of our drug candidates may be greater than we anticipate;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supply or quality of our drug candidates or other materials necessary to conduct clinical trials of our drug candidates may be insufficient or inadequate;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drug candidates may cause adverse events, have undesirable side effects or other unexpected characteristics, causing us, our investigators, or regulators to suspend or terminate the trials.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w:t>
      </w:r>
    </w:p>
    <w:p>
      <w:pPr>
        <w:pStyle w:val="TextBody"/>
        <w:bidi w:val="0"/>
        <w:spacing w:before="0" w:after="0"/>
        <w:ind w:left="960" w:right="0" w:hanging="48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delayed in obtaining regulatory approval for our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170"/>
        <w:gridCol w:w="3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 obtain regulatory approval at all;</w:t>
            </w:r>
          </w:p>
        </w:tc>
      </w:tr>
    </w:tbl>
    <w:p>
      <w:pPr>
        <w:pStyle w:val="TextBody"/>
        <w:bidi w:val="0"/>
        <w:spacing w:before="0" w:after="0"/>
        <w:ind w:left="960" w:right="0" w:hanging="48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 approval for indications that are not as broad as intended;</w:t>
            </w:r>
          </w:p>
        </w:tc>
      </w:tr>
    </w:tbl>
    <w:p>
      <w:pPr>
        <w:pStyle w:val="TextBody"/>
        <w:bidi w:val="0"/>
        <w:spacing w:before="0" w:after="0"/>
        <w:ind w:left="960" w:right="0" w:hanging="48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75"/>
        <w:gridCol w:w="170"/>
        <w:gridCol w:w="6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have a drug removed from the market after obtaining regulatory approval;</w:t>
            </w:r>
          </w:p>
        </w:tc>
      </w:tr>
    </w:tbl>
    <w:p>
      <w:pPr>
        <w:pStyle w:val="TextBody"/>
        <w:bidi w:val="0"/>
        <w:spacing w:before="0" w:after="0"/>
        <w:ind w:left="960" w:right="0" w:hanging="48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subject to additional post-marketing testing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subject to restrictions on how a drug is distributed or used; or</w:t>
            </w:r>
          </w:p>
        </w:tc>
      </w:tr>
    </w:tbl>
    <w:p>
      <w:pPr>
        <w:pStyle w:val="TextBody"/>
        <w:bidi w:val="0"/>
        <w:spacing w:before="0" w:after="0"/>
        <w:ind w:left="960" w:right="0" w:hanging="48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 unable to obtain reimbursement for use of a drug.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testing or approvals may result in increases in our drug development costs. We do not know whether any clinical trials will begin as planned, will need to be restructured, or will be completed on schedule,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 we may not have sufficient funding to complete the testing and approval process. Any of these events may significantly harm our business, financial condition and prospects, lead to the denial of regulatory approval of our drug candidates or allow our competitors to bring drugs to market before we do, impairing our ability to commercialize our drugs if and when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clinical trial delays also could shorten any periods during which we have the exclusive right to commercialize our drug candidates or allow our competitors to bring products to market before we do, impair our ability to commercialize our drug candidates and may harm our business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Obtaining Regulatory Approval for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our business will be substantially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candidates could fail to receive regulatory approval from any of the FDA, NMPA, EMA, Health Canada or other comparable regulatory authorities for many reasons,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 with regulators regarding the design or implementation of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demonstrate that a drug candidate is safe and effective or safe, pure and potent for its proposed indication;</w:t>
            </w:r>
          </w:p>
        </w:tc>
      </w:tr>
    </w:tbl>
    <w:p>
      <w:pPr>
        <w:pStyle w:val="TextBody"/>
        <w:bidi w:val="0"/>
        <w:spacing w:before="0" w:after="0"/>
        <w:ind w:left="960" w:right="0" w:hanging="48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clinical trial results to meet the level of statistical significance required for approval;</w:t>
            </w:r>
          </w:p>
        </w:tc>
      </w:tr>
    </w:tbl>
    <w:p>
      <w:pPr>
        <w:pStyle w:val="TextBody"/>
        <w:bidi w:val="0"/>
        <w:spacing w:before="0" w:after="0"/>
        <w:ind w:left="960" w:right="0" w:hanging="48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demonstrate that a drug candidate’s clinical and other benefits outweigh its safety risks;</w:t>
            </w:r>
          </w:p>
        </w:tc>
      </w:tr>
    </w:tbl>
    <w:p>
      <w:pPr>
        <w:pStyle w:val="TextBody"/>
        <w:bidi w:val="0"/>
        <w:spacing w:before="0" w:after="0"/>
        <w:ind w:left="960" w:right="0" w:hanging="48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70"/>
        <w:gridCol w:w="8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disagreement with regulators regarding our interpretation of data from studies in animals or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insufficiency of data collected from clinical trials of our drug candidates to support the submission and filing of a New Drug Application (“NDA”), or other submission or to obtain marketing approval;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FDA, NMPA, EMA, Health Canada or a comparable regulatory authority’s finding of deficiencies related to the manufacturing processes or facilities of third-party manufacturers with whom we contract for clinical and commercial supplies; and</w:t>
            </w:r>
          </w:p>
        </w:tc>
      </w:tr>
    </w:tbl>
    <w:p>
      <w:pPr>
        <w:pStyle w:val="TextBody"/>
        <w:bidi w:val="0"/>
        <w:spacing w:before="0" w:after="0"/>
        <w:ind w:left="960" w:right="0" w:hanging="48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75"/>
        <w:gridCol w:w="17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approval policies or regulations that render our preclinical studies and clinical data insufficient for approval.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our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our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our drug candidates, require patient or physician education, or impose other burdensome implementation requirements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approval may be substantially delayed or may not be obtained for one or all of our drug candidates if regulatory authorities require additional time or studies to assess the safety or efficacy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any drug candidates that have gained approval for sale by the FDA, NMPA or EMA, Health Canada or other regulatory authorities in any other country, and we cannot guarantee that we will ever have marketable drugs. Despite SACT-1 having been granted orphan drug status, this is not an approval for sale by the FDA. Our business is substantially dependent on our ability to complete the development of, obtain marketing approval for and successfully commercialize drug candidates in a timely manner. We cannot commercialize drug candidates without first obtaining marketing approval from the FDA, NMPA, EMA, Health Canada and comparable regulatory authorities. In the U.S., we hope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we are permitted to commence such clinical trials, they may not be successful and regulators may not agree with our conclusions regarding the data generated by our clinical trials.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complete development of our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our drug candidates, we may not have or be able to obtain adequate funding to complete the necessary steps for approval for our drug candidates or any future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in animals and clinical trials in humans to demonstrate the safety and efficacy of our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obtain sufficient funds required to conduct or continue a trial, including lack of funding due to unforeseen costs or other business decisions;</w:t>
            </w:r>
          </w:p>
        </w:tc>
      </w:tr>
    </w:tbl>
    <w:p>
      <w:pPr>
        <w:pStyle w:val="TextBody"/>
        <w:bidi w:val="0"/>
        <w:spacing w:before="0" w:after="0"/>
        <w:ind w:left="960" w:right="0" w:hanging="480"/>
        <w:jc w:val="both"/>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70"/>
        <w:gridCol w:w="7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reports for additional analysts, reports, data, preclinical studies and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to reach agreement with, or inability to comply with conditions imposed by the FDA, NMPA, EMA, Health Canada or other regulators regarding the scope or design of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questions regarding interpretations of data and results and the emergence of new information regarding our drug candidates or other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 or failure in obtaining authorization to commence a clinical trial or inability to comply with conditions imposed by a regulatory authority regarding the scope or design of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of clinical trial sites from our clinical trials as a result of changing standards of care or the ineligibility of a site to participate in our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unfavorable or inconclusive results of clinical trials and supportive non-clinical studies, including unfavorable results regarding effectiveness of drug candidates during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75"/>
        <w:gridCol w:w="170"/>
        <w:gridCol w:w="8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maintaining contact with patients during or after treatment, resulting in incomplete data;</w:t>
            </w:r>
          </w:p>
        </w:tc>
      </w:tr>
    </w:tbl>
    <w:p>
      <w:pPr>
        <w:pStyle w:val="TextBody"/>
        <w:bidi w:val="0"/>
        <w:spacing w:before="0" w:after="0"/>
        <w:ind w:left="960" w:right="0" w:hanging="48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75"/>
        <w:gridCol w:w="170"/>
        <w:gridCol w:w="91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obtain approval from IRBs or ethics committees to conduct clinical trials at their respective sites;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enroll and retain a sufficient number of patients who meet the inclusion and exclusion criteria in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75"/>
        <w:gridCol w:w="170"/>
        <w:gridCol w:w="8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conduct a clinical trial in accordance with regulatory requirements or our clinical protocols;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sites and investigators deviating from trial protocol, failing to conduct the trial in accordance with regulatory requirements, withdrawing from or dropping out of a trial, or becoming ineligible to participate in a trial;</w:t>
            </w:r>
          </w:p>
        </w:tc>
      </w:tr>
    </w:tbl>
    <w:p>
      <w:pPr>
        <w:pStyle w:val="TextBody"/>
        <w:bidi w:val="0"/>
        <w:spacing w:before="0" w:after="0"/>
        <w:ind w:left="960" w:right="0" w:hanging="480"/>
        <w:jc w:val="both"/>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failure of our clinical trial managers to satisfy their contractual duties or meet expected deadlines;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manufacturing issues, including problems with manufacturing or timely obtaining from third parties sufficient quantities of a drug candidate for use in a clinical trial;</w:t>
            </w:r>
          </w:p>
        </w:tc>
      </w:tr>
    </w:tbl>
    <w:p>
      <w:pPr>
        <w:pStyle w:val="TextBody"/>
        <w:bidi w:val="0"/>
        <w:spacing w:before="0" w:after="0"/>
        <w:ind w:left="960" w:right="0" w:hanging="48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75"/>
        <w:gridCol w:w="170"/>
        <w:gridCol w:w="71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ambiguous or negative interim results, or results that are inconsistent with earlier results;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feedback from the FDA, NMPA, EMA, Health Canada, an IRB, data safety monitoring boards, or comparable entities, or results from earlier stage or concurrent studies in animals and clinical trials, regarding our drug candidates, including which might require modification of a trial protocol;</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960" w:right="0" w:hanging="480"/>
        <w:jc w:val="both"/>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unacceptable risk-benefit profile or unforeseen safety issues or adverse side effects;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decision by the FDA, NMPA, EMA, Health Canada, an IRB, comparable entities, or the Company, or recommendation by a data safety monitoring board or comparable regulatory entity, to suspend or terminate clinical trials at any time for safety issues or for any other reason.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experience delays in the completion of, or the termination of, a clinical trial, of any of our drug candidates, the commercial prospects of our drug candidates will be harmed, and our ability to generate product sales revenues from any of those drug candidates will be delayed. In addition, any delay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required to conduct additional clinical trials or other studies with respect to any of our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our drugs, if and when approved. If any of this occurs, our business will be materially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drug candidates may cause undesirable adverse events or have other properties that could delay or prevent their regulatory approval, limit the commercial profile of an approved label, or result in significant negative consequences following any regulatory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Undesirable adverse events caused by our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our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any of our current or future drug candidates receives regulatory approval, and we or others later identify undesirable side effects caused by such drugs, a number of potentially significant negative consequences could result,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70"/>
        <w:gridCol w:w="31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suspending the marketing of the drug;</w:t>
            </w:r>
          </w:p>
        </w:tc>
      </w:tr>
    </w:tbl>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having regulatory authorities withdraw approvals of the drug;</w:t>
            </w:r>
          </w:p>
        </w:tc>
      </w:tr>
    </w:tbl>
    <w:p>
      <w:pPr>
        <w:pStyle w:val="TextBody"/>
        <w:bidi w:val="0"/>
        <w:spacing w:before="0" w:after="0"/>
        <w:ind w:left="960" w:right="0" w:hanging="48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170"/>
        <w:gridCol w:w="2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adding warnings on the label;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developing a REMS for the drug or, if a REMS is already in place, incorporating additional requirements under the REMS, or to develop a similar strategy as required by a comparable regulatory authority;</w:t>
            </w:r>
          </w:p>
        </w:tc>
      </w:tr>
    </w:tbl>
    <w:p>
      <w:pPr>
        <w:pStyle w:val="TextBody"/>
        <w:bidi w:val="0"/>
        <w:spacing w:before="0" w:after="0"/>
        <w:ind w:left="960" w:right="0" w:hanging="48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conducting post-market studies;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960" w:right="0" w:hanging="480"/>
        <w:jc w:val="both"/>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being sued and held liable for harm caused to subjects or patients; and</w:t>
            </w:r>
          </w:p>
        </w:tc>
      </w:tr>
    </w:tbl>
    <w:p>
      <w:pPr>
        <w:pStyle w:val="TextBody"/>
        <w:bidi w:val="0"/>
        <w:spacing w:before="0" w:after="0"/>
        <w:ind w:left="960" w:right="0" w:hanging="48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damage to our reputation.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prevent us from achieving or maintaining market acceptance of the particular drug candidate, if approved, and could significantly harm our business,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receive regulatory approval for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regulatory approvals that we receive for our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our drug candidates (such as REMS of the FDA and risk-management plan of the 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our drug candidates, we will have to comply with requirements including, for example, submissions of safety and other post-marketing information and reports, registration, as well as continued compliance with cGCP and cGMP, for any clinical trials that we conduct post-approval.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impose consent decrees or withdraw approval if compliance with regulatory requirements and standards is not maintained or if problems occur after the drug reaches the market. Later discovery of previously unknown problems with our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restrictions on the marketing or manufacturing of our drug candidates, withdrawal of the product from the market, or voluntary or mandatory product recalls;</w:t>
            </w:r>
          </w:p>
        </w:tc>
      </w:tr>
    </w:tbl>
    <w:p>
      <w:pPr>
        <w:pStyle w:val="TextBody"/>
        <w:bidi w:val="0"/>
        <w:spacing w:before="0" w:after="0"/>
        <w:ind w:left="960" w:right="0" w:hanging="48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fines, untitled or warning letters, or holds on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by the FDA to approve pending applications or supplements to approved applications filed by us or suspension or revocation of license approvals;</w:t>
            </w:r>
          </w:p>
        </w:tc>
      </w:tr>
    </w:tbl>
    <w:p>
      <w:pPr>
        <w:pStyle w:val="TextBody"/>
        <w:bidi w:val="0"/>
        <w:spacing w:before="0" w:after="0"/>
        <w:ind w:left="960" w:right="0" w:hanging="480"/>
        <w:jc w:val="both"/>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75"/>
        <w:gridCol w:w="170"/>
        <w:gridCol w:w="78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seizure or detention, or refusal to permit the import or export of our drug candidates; and</w:t>
            </w:r>
          </w:p>
        </w:tc>
      </w:tr>
    </w:tbl>
    <w:p>
      <w:pPr>
        <w:pStyle w:val="TextBody"/>
        <w:bidi w:val="0"/>
        <w:spacing w:before="0" w:after="0"/>
        <w:ind w:left="960" w:right="0" w:hanging="48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75"/>
        <w:gridCol w:w="170"/>
        <w:gridCol w:w="47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injunctions or the imposition of civil or criminal penalties.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our business operations and our reputation could be damaged.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that if an entity does not address observations found in an FDA Form 483 to FDA’s satisfaction, the FDA could take enforcement action, including any of the following sanctions:</w:t>
      </w:r>
    </w:p>
    <w:p>
      <w:pPr>
        <w:pStyle w:val="TextBody"/>
        <w:bidi w:val="0"/>
        <w:spacing w:before="0" w:after="0"/>
        <w:ind w:left="960" w:right="0" w:hanging="480"/>
        <w:jc w:val="both"/>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75"/>
        <w:gridCol w:w="170"/>
        <w:gridCol w:w="6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untitled letters, warning letters, fines, injunctions, consent decrees and civil penalties;</w:t>
            </w:r>
          </w:p>
        </w:tc>
      </w:tr>
    </w:tbl>
    <w:p>
      <w:pPr>
        <w:pStyle w:val="TextBody"/>
        <w:bidi w:val="0"/>
        <w:spacing w:before="0" w:after="0"/>
        <w:ind w:left="960" w:right="0" w:hanging="480"/>
        <w:jc w:val="both"/>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75"/>
        <w:gridCol w:w="170"/>
        <w:gridCol w:w="5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notifications or recall, detention or seizure of our product;</w:t>
            </w:r>
          </w:p>
        </w:tc>
      </w:tr>
    </w:tbl>
    <w:p>
      <w:pPr>
        <w:pStyle w:val="TextBody"/>
        <w:bidi w:val="0"/>
        <w:spacing w:before="0" w:after="0"/>
        <w:ind w:left="960" w:right="0" w:hanging="48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restrictions or partial suspension or total shutdown of production;</w:t>
            </w:r>
          </w:p>
        </w:tc>
      </w:tr>
    </w:tbl>
    <w:p>
      <w:pPr>
        <w:pStyle w:val="TextBody"/>
        <w:bidi w:val="0"/>
        <w:spacing w:before="0" w:after="0"/>
        <w:ind w:left="960" w:right="0" w:hanging="48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refusing or delaying our requests for pre-market approval of new products;</w:t>
            </w:r>
          </w:p>
        </w:tc>
      </w:tr>
    </w:tbl>
    <w:p>
      <w:pPr>
        <w:pStyle w:val="TextBody"/>
        <w:bidi w:val="0"/>
        <w:spacing w:before="0" w:after="0"/>
        <w:ind w:left="960" w:right="0" w:hanging="480"/>
        <w:jc w:val="both"/>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170"/>
        <w:gridCol w:w="54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withdrawing pre-market approvals that have already been granted;</w:t>
            </w:r>
          </w:p>
        </w:tc>
      </w:tr>
    </w:tbl>
    <w:p>
      <w:pPr>
        <w:pStyle w:val="TextBody"/>
        <w:bidi w:val="0"/>
        <w:spacing w:before="0" w:after="0"/>
        <w:ind w:left="960" w:right="0" w:hanging="48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to grant export approval for our product; or</w:t>
            </w:r>
          </w:p>
        </w:tc>
      </w:tr>
    </w:tbl>
    <w:p>
      <w:pPr>
        <w:pStyle w:val="TextBody"/>
        <w:bidi w:val="0"/>
        <w:spacing w:before="0" w:after="0"/>
        <w:ind w:left="960" w:right="0" w:hanging="48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criminal prosecution.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foregoing actions could have a material adverse effect on our reputation, business, financial condition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Commercialization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any of our drug candidates receive regulatory approval, it may fail to achieve the degree of market acceptance by physicians, patients, third-party payors and others in the medical community necessary for commercial success.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indications for which our drug candidates are approved;</w:t>
            </w:r>
          </w:p>
        </w:tc>
      </w:tr>
    </w:tbl>
    <w:p>
      <w:pPr>
        <w:pStyle w:val="TextBody"/>
        <w:bidi w:val="0"/>
        <w:spacing w:before="0" w:after="0"/>
        <w:ind w:left="960" w:right="0" w:hanging="480"/>
        <w:jc w:val="both"/>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75"/>
        <w:gridCol w:w="170"/>
        <w:gridCol w:w="8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physicians, hospitals, and patients considering our drug candidates as a safe and effective treatment;</w:t>
            </w:r>
          </w:p>
        </w:tc>
      </w:tr>
    </w:tbl>
    <w:p>
      <w:pPr>
        <w:pStyle w:val="TextBody"/>
        <w:bidi w:val="0"/>
        <w:spacing w:before="0" w:after="0"/>
        <w:ind w:left="960" w:right="0" w:hanging="48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and perceived advantages of our drug candidates over alternative treatments;</w:t>
            </w:r>
          </w:p>
        </w:tc>
      </w:tr>
    </w:tbl>
    <w:p>
      <w:pPr>
        <w:pStyle w:val="TextBody"/>
        <w:bidi w:val="0"/>
        <w:spacing w:before="0" w:after="0"/>
        <w:ind w:left="960" w:right="0" w:hanging="480"/>
        <w:jc w:val="both"/>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75"/>
        <w:gridCol w:w="170"/>
        <w:gridCol w:w="3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prevalence and severity of any side effects;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labeling or product insert requirements of the FDA, NMPA, EMA, Health Canada or other comparable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limitations or warnings contained in the labeling approved by the FDA, NMPA, EMA, Health Canada or other comparable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timing of market introduction of our drug candidates as well as competitive drugs;</w:t>
            </w:r>
          </w:p>
        </w:tc>
      </w:tr>
    </w:tbl>
    <w:p>
      <w:pPr>
        <w:pStyle w:val="TextBody"/>
        <w:bidi w:val="0"/>
        <w:spacing w:before="0" w:after="0"/>
        <w:ind w:left="960" w:right="0" w:hanging="48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treatment in relation to alternative treatments and their relative benefits;</w:t>
            </w:r>
          </w:p>
        </w:tc>
      </w:tr>
    </w:tbl>
    <w:p>
      <w:pPr>
        <w:pStyle w:val="TextBody"/>
        <w:bidi w:val="0"/>
        <w:spacing w:before="0" w:after="0"/>
        <w:ind w:left="960" w:right="0" w:hanging="480"/>
        <w:jc w:val="both"/>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75"/>
        <w:gridCol w:w="170"/>
        <w:gridCol w:w="9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adequate coverage, reimbursement and pricing by third-party payors and government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lack of experience and financial and other limitations on our ability to create and sustain effective sales and marketing efforts or ineffectiveness of our sales and marketing partners;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75"/>
        <w:gridCol w:w="170"/>
        <w:gridCol w:w="66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 enrollment in, and completion of, studies in animals and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parties’ ability in conducting our clinical trials safely, efficiently and according to the agreed protocol;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receipt of regulatory approvals from the FDA, NMPA, EMA, Health Canada and other comparable regulatory authorities for our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establish commercial manufacturing capabilities by making arrangements with third-party manufacturers;</w:t>
            </w:r>
          </w:p>
        </w:tc>
      </w:tr>
    </w:tbl>
    <w:p>
      <w:pPr>
        <w:pStyle w:val="TextBody"/>
        <w:bidi w:val="0"/>
        <w:spacing w:before="0" w:after="0"/>
        <w:ind w:left="960" w:right="0" w:hanging="480"/>
        <w:jc w:val="both"/>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reliance on other parties to conduct our clinical trials swiftly and effectively;</w:t>
            </w:r>
          </w:p>
        </w:tc>
      </w:tr>
    </w:tbl>
    <w:p>
      <w:pPr>
        <w:pStyle w:val="TextBody"/>
        <w:bidi w:val="0"/>
        <w:spacing w:before="0" w:after="0"/>
        <w:ind w:left="960" w:right="0" w:hanging="480"/>
        <w:jc w:val="both"/>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launch of commercial sales of our drug candidates, if and when approved;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and maintaining patents, trade secrets and other IP protection and regulatory exclusivity, as well as protecting our rights in our own IP;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ensuring that we do not infringe, misappropriate or otherwise violate patents, trade secrets or other IP rights of other parties;</w:t>
            </w:r>
          </w:p>
        </w:tc>
      </w:tr>
    </w:tbl>
    <w:p>
      <w:pPr>
        <w:pStyle w:val="TextBody"/>
        <w:bidi w:val="0"/>
        <w:spacing w:before="0" w:after="0"/>
        <w:ind w:left="960" w:right="0" w:hanging="48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75"/>
        <w:gridCol w:w="170"/>
        <w:gridCol w:w="5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acceptance of our drug candidates by doctors and patients;</w:t>
            </w:r>
          </w:p>
        </w:tc>
      </w:tr>
    </w:tbl>
    <w:p>
      <w:pPr>
        <w:pStyle w:val="TextBody"/>
        <w:bidi w:val="0"/>
        <w:spacing w:before="0" w:after="0"/>
        <w:ind w:left="960" w:right="0" w:hanging="48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obtaining reimbursement from third-party payors for our drug candidates, if and when approved;</w:t>
            </w:r>
          </w:p>
        </w:tc>
      </w:tr>
    </w:tbl>
    <w:p>
      <w:pPr>
        <w:pStyle w:val="TextBody"/>
        <w:bidi w:val="0"/>
        <w:spacing w:before="0" w:after="0"/>
        <w:ind w:left="960" w:right="0" w:hanging="48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compete with other drug candidates and drugs; and</w:t>
            </w:r>
          </w:p>
        </w:tc>
      </w:tr>
    </w:tbl>
    <w:p>
      <w:pPr>
        <w:pStyle w:val="TextBody"/>
        <w:bidi w:val="0"/>
        <w:spacing w:before="0" w:after="0"/>
        <w:ind w:left="960" w:right="0" w:hanging="480"/>
        <w:jc w:val="both"/>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75"/>
        <w:gridCol w:w="170"/>
        <w:gridCol w:w="9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maintenance of an acceptable safety profile for our drug candidates following regulatory approval, if and when received.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Intellectual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patents will be issued or granted with respect to patent applications that are currently pending, or that issued or granted patents will not later be found to be invalid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nullification or derivation proceedings, in court or before patent offices, or similar proceedings challenging the validity, enforceability or scope of such patents, which may result in the patent claims being narrowed or invalidated. Successful defense of its patents can constitute a material factor in a company’s expenses. According to an article published by BlueIron (</w:t>
      </w:r>
      <w:r>
        <w:rPr>
          <w:rFonts w:ascii="Times New Roman;Times;Serif" w:hAnsi="Times New Roman;Times;Serif"/>
          <w:b w:val="false"/>
          <w:i/>
          <w:caps w:val="false"/>
          <w:smallCaps w:val="false"/>
          <w:sz w:val="20"/>
        </w:rPr>
        <w:t>https://finance.yahoo.com/news/current-patent-litigation-costs-between-120200165.html</w:t>
      </w:r>
      <w:r>
        <w:rPr>
          <w:rFonts w:ascii="Times New Roman;Times;Serif" w:hAnsi="Times New Roman;Times;Serif"/>
          <w:b w:val="false"/>
          <w:i w:val="false"/>
          <w:caps w:val="false"/>
          <w:smallCaps w:val="false"/>
          <w:sz w:val="20"/>
        </w:rPr>
        <w:t>), depending on the value at stake, the American Intellectual Property Law Association’s “2019 Report of the Economic Survey” reported the average costs of a patent litigation are between $2.3 million to $4.0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protect and enforce our IP rights throughout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not sought to enforce any issued patents in any jurisdictions. Proceedings to enforce our patent and other IP rights in any jurisdictions could result in substantial costs and divert our efforts and attention from other aspects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challenging the inventorship of our patents and other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patent applications pending of which we are not aware, but which cover similar products to the ones we are attempting to license or develop, which may result in lost time and money, as well as 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prospectus. Any of these events could require us to divert substantial financial and management resources that we would otherwise be able to devote to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terms of our patents may not be sufficient to effectively protect our drug and diagnostics technology candidates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patent law in the United States could diminish the value of patents in general, thereby impairing our ability to protect our drug and diagnostics technology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Times;Serif" w:hAnsi="Times New Roman;Times;Serif"/>
          <w:b w:val="false"/>
          <w:i/>
          <w:caps w:val="false"/>
          <w:smallCaps w:val="false"/>
          <w:sz w:val="20"/>
        </w:rPr>
        <w:t>Assoc. for Molecular Pathology v. Myriad Genetics, Inc.</w:t>
      </w:r>
      <w:r>
        <w:rPr>
          <w:rFonts w:ascii="Times New Roman;Times;Serif" w:hAnsi="Times New Roman;Times;Serif"/>
          <w:b w:val="false"/>
          <w:i w:val="false"/>
          <w:caps w:val="false"/>
          <w:smallCaps w:val="false"/>
          <w:sz w:val="20"/>
        </w:rPr>
        <w:t>,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Times;Serif" w:hAnsi="Times New Roman;Times;Serif"/>
          <w:b w:val="false"/>
          <w:i/>
          <w:caps w:val="false"/>
          <w:smallCaps w:val="false"/>
          <w:sz w:val="20"/>
        </w:rPr>
        <w:t xml:space="preserve">inter </w:t>
      </w:r>
      <w:r>
        <w:rPr>
          <w:rFonts w:ascii="Times New Roman;Times;Serif" w:hAnsi="Times New Roman;Times;Serif"/>
          <w:b w:val="false"/>
          <w:i w:val="false"/>
          <w:caps w:val="false"/>
          <w:smallCaps w:val="false"/>
          <w:sz w:val="20"/>
        </w:rPr>
        <w:t xml:space="preserve">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immediately following the issuance of a patent if the patent has an effective filing date prior to March 16, 2013.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protect the confidentiality of our trade secrets, our business and competitive position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that our employees have wrongfully used or disclosed alleged trade secrets of their former employers.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execute on the optimal development plan for one or more of our existing product candidates if we are unable to obtain or maintain necessary rights for some aspect of the developing technology through acquisitions or licenses.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disputes may arise regarding intellectual property subject to a licensing agreement, including:</w:t>
      </w:r>
    </w:p>
    <w:p>
      <w:pPr>
        <w:pStyle w:val="TextBody"/>
        <w:bidi w:val="0"/>
        <w:spacing w:before="0" w:after="0"/>
        <w:ind w:left="960" w:right="0" w:hanging="480"/>
        <w:jc w:val="both"/>
        <w:rPr>
          <w:caps w:val="false"/>
          <w:smallCaps w:val="false"/>
        </w:rPr>
      </w:pPr>
      <w:r>
        <w:rPr>
          <w:caps w:val="false"/>
          <w:smallCaps w:val="false"/>
        </w:rPr>
        <w:t> </w:t>
      </w:r>
    </w:p>
    <w:tbl>
      <w:tblPr>
        <w:tblW w:w="7900" w:type="dxa"/>
        <w:jc w:val="left"/>
        <w:tblInd w:w="0" w:type="dxa"/>
        <w:tblLayout w:type="fixed"/>
        <w:tblCellMar>
          <w:top w:w="0" w:type="dxa"/>
          <w:left w:w="0" w:type="dxa"/>
          <w:bottom w:w="0" w:type="dxa"/>
          <w:right w:w="0" w:type="dxa"/>
        </w:tblCellMar>
      </w:tblPr>
      <w:tblGrid>
        <w:gridCol w:w="75"/>
        <w:gridCol w:w="170"/>
        <w:gridCol w:w="7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scope of rights granted under the license agreement and other interpretation-related issues;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extent to which our technology and processes infringe on intellectual property of the licensor that is not subject to the licensing agreement;</w:t>
            </w:r>
          </w:p>
        </w:tc>
      </w:tr>
    </w:tbl>
    <w:p>
      <w:pPr>
        <w:pStyle w:val="TextBody"/>
        <w:bidi w:val="0"/>
        <w:spacing w:before="0" w:after="0"/>
        <w:ind w:left="960" w:right="0" w:hanging="48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sublicensing of patent and other rights under our collaborative development relationships;</w:t>
            </w:r>
          </w:p>
        </w:tc>
      </w:tr>
    </w:tbl>
    <w:p>
      <w:pPr>
        <w:pStyle w:val="TextBody"/>
        <w:bidi w:val="0"/>
        <w:spacing w:before="0" w:after="0"/>
        <w:ind w:left="960" w:right="0" w:hanging="48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75"/>
        <w:gridCol w:w="170"/>
        <w:gridCol w:w="8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diligence obligations under the license agreement and what activities satisfy those diligence obligations;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inventorship and ownership of inventions and know-how resulting from the joint creation or use of intellectual property by our licensors and us and our partners; and</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75"/>
        <w:gridCol w:w="170"/>
        <w:gridCol w:w="39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priority of invention of patented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complete control of the preparation, filing and prosecution of patent applications, or to maintain patents, licensed by us from other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Reliance on Unrelated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expect to engage contract manufacturers, the Company will be exposed to the following risks: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 manufacturers might be unable to reproduce the quantity and quality of the drugs we need to meet our clinical and commercial needs within the time frames when we require those drugs;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depending on the terms of our agreement with a manufacturer, we may not own, or may have to share, the IP rights to any improvements made by the manufacturer in the manufacturing process for our drug candidates; and</w:t>
            </w:r>
          </w:p>
        </w:tc>
      </w:tr>
    </w:tbl>
    <w:p>
      <w:pPr>
        <w:pStyle w:val="TextBody"/>
        <w:bidi w:val="0"/>
        <w:spacing w:before="0" w:after="0"/>
        <w:ind w:left="960" w:right="0" w:hanging="48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75"/>
        <w:gridCol w:w="170"/>
        <w:gridCol w:w="8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contract manufacturers may have unacceptable or inconsistent product quality success rates and yields.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of changes in the manufacturing process of our drug candidates could cause delays resulting from the need for additional regulatory approvals.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Industry, Business and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do not comply with laws regulating the protection of the environment and health and human safety, our business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our Chief Executive Officer, our scientific and clinical advisors, and other key executives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 prevent our executives from terminating their employment with us at any time, subject to applicable notice periods. Nevertheless, the loss of the services of any of these persons could impede the achievement of our research, development and commercialization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valuable employees to remain at our Company, in addition to salary and cash incentives, we provide share incentive grants that vest over time. The value to employees of these equity grants that vest over time may be significantly affected by movements in the price of Our common stock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increase the size and capabilities of our organization, and we may experience difficulties in managing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w:t>
      </w:r>
    </w:p>
    <w:p>
      <w:pPr>
        <w:pStyle w:val="TextBody"/>
        <w:bidi w:val="0"/>
        <w:spacing w:before="0" w:after="0"/>
        <w:ind w:left="960" w:right="0" w:hanging="48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identifying, recruiting, integrating, maintaining and motivating additional employees;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p>
        </w:tc>
      </w:tr>
    </w:tbl>
    <w:p>
      <w:pPr>
        <w:pStyle w:val="TextBody"/>
        <w:bidi w:val="0"/>
        <w:spacing w:before="0" w:after="0"/>
        <w:ind w:left="960" w:right="0" w:hanging="48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75"/>
        <w:gridCol w:w="170"/>
        <w:gridCol w:w="79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improving our operational, financial and management controls, reporting systems and procedures.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intend to seek additional collaborations, strategic alliances or acquisitions or enter into royalty-seeking or sublicensing arrangements in the future, but we may not realize the benefits of these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even if we enter into a collaboration involving any of our drug and diagnostics technology candidates, the arrangement will be subject to numerous risks, which may include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collaborators will likely have significant discretion in determining the efforts and resources that they will apply to a collaboration;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could independently develop, or develop with unrelated parties, drugs that compete directly or indirectly with our drugs or drug candidates;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with marketing and distribution rights to one or more drugs may not commit sufficient resources to their marketing and distribution;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collaboration may be terminated and, if terminated, may result the Company needing additional capital to pursue further development or commercialization of the applicable drug and diagnostics technology candidates;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collaborator may own or co-own IP covering our drugs that results from our collaborating with them, and in such cases, we would not have the exclusive right to commercialize such IP;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collaboration may result in increased operating expenses or the assumption of indebtedness or contingent liabilities;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collaboration arrangement may result in the loss of key personnel and uncertainties in our ability to maintain key business relationships.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disclosure controls and procedures may not prevent or detect all errors or acts of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Our common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establish and maintain proper internal financial reporting controls, our ability to produce accurate financial statements or comply with applicable regulations could be impaired.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taken actions to remediate the abovementioned material weakness: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provide trainings to staff regarding to the preparation of financial statements in compliance with generally accepted accounting principles in the United States;</w:t>
            </w:r>
          </w:p>
        </w:tc>
      </w:tr>
    </w:tbl>
    <w:p>
      <w:pPr>
        <w:pStyle w:val="TextBody"/>
        <w:bidi w:val="0"/>
        <w:spacing w:before="0" w:after="0"/>
        <w:ind w:left="960" w:right="0" w:hanging="480"/>
        <w:jc w:val="both"/>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75"/>
        <w:gridCol w:w="170"/>
        <w:gridCol w:w="9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to a new and well-established accounting system to enhance effectiveness and financial and system control;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establish clear roles and responsibilities for accounting and financial reporting staff to address finance and accounting issues; and</w:t>
            </w:r>
          </w:p>
        </w:tc>
      </w:tr>
    </w:tbl>
    <w:p>
      <w:pPr>
        <w:pStyle w:val="TextBody"/>
        <w:bidi w:val="0"/>
        <w:spacing w:before="0" w:after="0"/>
        <w:ind w:left="960" w:right="0" w:hanging="48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continue to monitor the improvement on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concluded that our internal controls over financial reporting were not effective as of December 31, 2025. Investors may lose confidence in our operating results, the price of the Our common stock could decline and we may be subject to litigation or regulatory enforcement actions. In addition, if we are unable to meet the requirements of Section 404 of the Sarbanes-Oxley Act, Our common stock may not be able to remain listed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market our products, if approved, globally; if we do, we will be subject to the risk of doing business internationally.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and expect to operate in various countries, and we may not be able to market our products in, or develop new products successfully for, these markets. We may also encounter other risks of doing business internationally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unexpected changes in, or impositions of, legislative or regulatory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p>
        </w:tc>
      </w:tr>
    </w:tbl>
    <w:p>
      <w:pPr>
        <w:pStyle w:val="TextBody"/>
        <w:bidi w:val="0"/>
        <w:spacing w:before="0" w:after="0"/>
        <w:ind w:left="960" w:right="0" w:hanging="480"/>
        <w:jc w:val="both"/>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70"/>
        <w:gridCol w:w="66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occurrence of economic weakness, including inflation or political instability;</w:t>
            </w:r>
          </w:p>
        </w:tc>
      </w:tr>
    </w:tbl>
    <w:p>
      <w:pPr>
        <w:pStyle w:val="TextBody"/>
        <w:bidi w:val="0"/>
        <w:spacing w:before="0" w:after="0"/>
        <w:ind w:left="960" w:right="0" w:hanging="48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75"/>
        <w:gridCol w:w="170"/>
        <w:gridCol w:w="7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effects of applicable non-U.S. tax structures and potentially adverse tax consequences;</w:t>
            </w:r>
          </w:p>
        </w:tc>
      </w:tr>
    </w:tbl>
    <w:p>
      <w:pPr>
        <w:pStyle w:val="TextBody"/>
        <w:bidi w:val="0"/>
        <w:spacing w:before="0" w:after="0"/>
        <w:ind w:left="960" w:right="0" w:hanging="48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70"/>
        <w:gridCol w:w="6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differences in protection of our IP rights including patent rights of other parties;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burden of complying with a variety of foreign laws including difficulties in effective enforcement of contractual provisions;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delays resulting from difficulty in obtaining export licenses, tariffs and other barriers and restrictions, potentially longer payment cycles, greater difficulty in accounts receivable collection and potentially adverse tax treatment; and</w:t>
            </w:r>
          </w:p>
        </w:tc>
      </w:tr>
    </w:tbl>
    <w:p>
      <w:pPr>
        <w:pStyle w:val="TextBody"/>
        <w:bidi w:val="0"/>
        <w:spacing w:before="0" w:after="0"/>
        <w:ind w:left="960" w:right="0" w:hanging="48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170"/>
        <w:gridCol w:w="93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production shortages resulting from any events affecting raw material supply or manufacturing capabilities abroad.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engage in future acquisitions or strategic partnerships, this may increase our capital requirements, dilute our shareholders, cause us to incur debt or assume contingent liabilities, and subject us to other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evaluate various acquisitions and strategic partnerships, including licensing or acquiring complementary products, IP rights, technology or businesses. Any potential acquisition or strategic partnership may entail numerous risks,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75"/>
        <w:gridCol w:w="170"/>
        <w:gridCol w:w="4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operating expenses and cash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assumption of additional indebtedness or contingent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issuance of our equity securities;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assimilation of operations, IP and products of an acquired company, including difficulties associated with integrating new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diversion of our management’s attention from our existing product programs and initiatives in pursuing such a strategic merger or acquisition;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retention of key employees, the loss of key personnel, and uncertainties in our ability to maintain key business relationships;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and uncertainties associated with the other party to such a transaction, including the prospects of that party and their existing drugs or drug and diagnostics technology candidates and regulatory approvals;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generate revenue from acquired technology and/or products sufficient to meet our objectives in undertaking the acquisition or even to offset the associated acquisition and maintenance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0" w:after="0"/>
        <w:ind w:left="960" w:right="0" w:hanging="48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our drugs;</w:t>
            </w:r>
          </w:p>
        </w:tc>
      </w:tr>
    </w:tbl>
    <w:p>
      <w:pPr>
        <w:pStyle w:val="TextBody"/>
        <w:bidi w:val="0"/>
        <w:spacing w:before="0" w:after="0"/>
        <w:ind w:left="960" w:right="0" w:hanging="480"/>
        <w:jc w:val="both"/>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75"/>
        <w:gridCol w:w="170"/>
        <w:gridCol w:w="20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injury to our reputation;</w:t>
            </w:r>
          </w:p>
        </w:tc>
      </w:tr>
    </w:tbl>
    <w:p>
      <w:pPr>
        <w:pStyle w:val="TextBody"/>
        <w:bidi w:val="0"/>
        <w:spacing w:before="0" w:after="0"/>
        <w:ind w:left="960" w:right="0" w:hanging="480"/>
        <w:jc w:val="both"/>
        <w:rPr>
          <w:caps w:val="false"/>
          <w:smallCaps w:val="false"/>
        </w:rPr>
      </w:pPr>
      <w:r>
        <w:rPr>
          <w:caps w:val="false"/>
          <w:smallCaps w:val="false"/>
        </w:rPr>
        <w:t> </w:t>
      </w:r>
    </w:p>
    <w:tbl>
      <w:tblPr>
        <w:tblW w:w="6670" w:type="dxa"/>
        <w:jc w:val="left"/>
        <w:tblInd w:w="0" w:type="dxa"/>
        <w:tblLayout w:type="fixed"/>
        <w:tblCellMar>
          <w:top w:w="0" w:type="dxa"/>
          <w:left w:w="0" w:type="dxa"/>
          <w:bottom w:w="0" w:type="dxa"/>
          <w:right w:w="0" w:type="dxa"/>
        </w:tblCellMar>
      </w:tblPr>
      <w:tblGrid>
        <w:gridCol w:w="75"/>
        <w:gridCol w:w="170"/>
        <w:gridCol w:w="6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of clinical trial participants and inability to continue clinical trials;</w:t>
            </w:r>
          </w:p>
        </w:tc>
      </w:tr>
    </w:tbl>
    <w:p>
      <w:pPr>
        <w:pStyle w:val="TextBody"/>
        <w:bidi w:val="0"/>
        <w:spacing w:before="0" w:after="0"/>
        <w:ind w:left="960" w:right="0" w:hanging="48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170"/>
        <w:gridCol w:w="33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initiation of investigations by regulators;</w:t>
            </w:r>
          </w:p>
        </w:tc>
      </w:tr>
    </w:tbl>
    <w:p>
      <w:pPr>
        <w:pStyle w:val="TextBody"/>
        <w:bidi w:val="0"/>
        <w:spacing w:before="0" w:after="0"/>
        <w:ind w:left="960" w:right="0" w:hanging="480"/>
        <w:jc w:val="both"/>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70"/>
        <w:gridCol w:w="30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to defend the related litigation;</w:t>
            </w:r>
          </w:p>
        </w:tc>
      </w:tr>
    </w:tbl>
    <w:p>
      <w:pPr>
        <w:pStyle w:val="TextBody"/>
        <w:bidi w:val="0"/>
        <w:spacing w:before="0" w:after="0"/>
        <w:ind w:left="960" w:right="0" w:hanging="480"/>
        <w:jc w:val="both"/>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75"/>
        <w:gridCol w:w="170"/>
        <w:gridCol w:w="4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2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diversion of management’s time and our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170"/>
        <w:gridCol w:w="4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monetary awards to trial participants or patients;</w:t>
            </w:r>
          </w:p>
        </w:tc>
      </w:tr>
    </w:tbl>
    <w:p>
      <w:pPr>
        <w:pStyle w:val="TextBody"/>
        <w:bidi w:val="0"/>
        <w:spacing w:before="0" w:after="0"/>
        <w:ind w:left="960" w:right="0" w:hanging="48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75"/>
        <w:gridCol w:w="170"/>
        <w:gridCol w:w="64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product recalls, withdrawals or labeling, marketing or promotional restrictions;</w:t>
            </w:r>
          </w:p>
        </w:tc>
      </w:tr>
    </w:tbl>
    <w:p>
      <w:pPr>
        <w:pStyle w:val="TextBody"/>
        <w:bidi w:val="0"/>
        <w:spacing w:before="0" w:after="0"/>
        <w:ind w:left="960" w:right="0" w:hanging="480"/>
        <w:jc w:val="both"/>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of revenue;</w:t>
            </w:r>
          </w:p>
        </w:tc>
      </w:tr>
    </w:tbl>
    <w:p>
      <w:pPr>
        <w:pStyle w:val="TextBody"/>
        <w:bidi w:val="0"/>
        <w:spacing w:before="0" w:after="0"/>
        <w:ind w:left="960" w:right="0" w:hanging="48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exhaustion of any available insurance and our capital resources;</w:t>
            </w:r>
          </w:p>
        </w:tc>
      </w:tr>
    </w:tbl>
    <w:p>
      <w:pPr>
        <w:pStyle w:val="TextBody"/>
        <w:bidi w:val="0"/>
        <w:spacing w:before="0" w:after="0"/>
        <w:ind w:left="960" w:right="0" w:hanging="480"/>
        <w:jc w:val="both"/>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inability to commercialize any drug candidate; and</w:t>
            </w:r>
          </w:p>
        </w:tc>
      </w:tr>
    </w:tbl>
    <w:p>
      <w:pPr>
        <w:pStyle w:val="TextBody"/>
        <w:bidi w:val="0"/>
        <w:spacing w:before="0" w:after="0"/>
        <w:ind w:left="960" w:right="0" w:hanging="48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decline in the price of Our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be sued if the products that we commercialize, market or sell cause or are perceived to cause injury or are found to be otherwise unsuitable, and may result in:</w:t>
      </w:r>
    </w:p>
    <w:p>
      <w:pPr>
        <w:pStyle w:val="TextBody"/>
        <w:bidi w:val="0"/>
        <w:spacing w:before="0" w:after="0"/>
        <w:ind w:left="960" w:right="0" w:hanging="48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70"/>
        <w:gridCol w:w="30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demand for those products;</w:t>
            </w:r>
          </w:p>
        </w:tc>
      </w:tr>
    </w:tbl>
    <w:p>
      <w:pPr>
        <w:pStyle w:val="TextBody"/>
        <w:bidi w:val="0"/>
        <w:spacing w:before="0" w:after="0"/>
        <w:ind w:left="960" w:right="0" w:hanging="48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75"/>
        <w:gridCol w:w="170"/>
        <w:gridCol w:w="21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damage to our reputation;</w:t>
            </w:r>
          </w:p>
        </w:tc>
      </w:tr>
    </w:tbl>
    <w:p>
      <w:pPr>
        <w:pStyle w:val="TextBody"/>
        <w:bidi w:val="0"/>
        <w:spacing w:before="0" w:after="0"/>
        <w:ind w:left="960" w:right="0" w:hanging="480"/>
        <w:jc w:val="both"/>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75"/>
        <w:gridCol w:w="170"/>
        <w:gridCol w:w="32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incurred related to product recalls;</w:t>
            </w:r>
          </w:p>
        </w:tc>
      </w:tr>
    </w:tbl>
    <w:p>
      <w:pPr>
        <w:pStyle w:val="TextBody"/>
        <w:bidi w:val="0"/>
        <w:spacing w:before="0" w:after="0"/>
        <w:ind w:left="960" w:right="0" w:hanging="480"/>
        <w:jc w:val="both"/>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limiting our opportunities to enter into future commercial partnership; and</w:t>
            </w:r>
          </w:p>
        </w:tc>
      </w:tr>
    </w:tbl>
    <w:p>
      <w:pPr>
        <w:pStyle w:val="TextBody"/>
        <w:bidi w:val="0"/>
        <w:spacing w:before="0" w:after="0"/>
        <w:ind w:left="960" w:right="0" w:hanging="48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decline in the price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insurance coverage may be inadequate to protect us against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result in foreign currency exchange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investments are subject to risks that could result in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risks associated with our computer hardware, network security and data storage.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disruptions could seriously harm our future revenue and financial condition and increase our costs and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exposed to various risks related to the regulatory environment of the pharmaceutical industry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our common stock could be issued shortly after our filing of the second consecutive annual report on Form 10-K for which we have retained a PCAOB Identified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are subject to a trading prohibition under the HFCA Act, the price of our common stock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our common stock when you wish to do so. Furthermore, if we are able to maintain a listing of our common stock on a non-U.S. exchange, investors owning our common stock may have to take additional steps to engage in transactions on that exchange, including establishing non-U.S. brokerage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One of our directors controls a majority of our voting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our directors, Dr. Sheinerman, has voting rights with respect to an aggregate of 1,515,293 shares of Common Stock, representing approximately 51.6% of the voting power of our outstanding common stock as of the date hereof. As a result, Dr. Sheinerman has the ability to control the outcome of matters submitted to our shareholders for approval, including the election of directors and any merger, consolidation, or sale of all or substantially all of our assets. As a board member, Dr. Sheinerman owes a fiduciary duty to our shareholders and must act in good faith in a manner she reasonably believes to be in the best interests of our shareholders. As a shareholder, even a controlling shareholder, Dr. Sheinerman is entitled to vote her shares, and shares over which she has voting control as a result of voting agreements, in her own interests, which may not always be in the interests of our shareholders generally. However, Dr. Sheinerman is a party to that certain Stockholders Agreement dated as of July 20, 2026, pursuant to which she has agreed to vote in favor of certain corporate actions for a certain period of time, all as detailed in the Stockholders Agreement, a copy of which is attached as an exhibit to the Current Report on Form 8-K filed on July 20, 2026,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 xml:space="preserve">As a “controlled company” under the rules of the </w:t>
      </w:r>
      <w:r>
        <w:rPr>
          <w:rFonts w:ascii="Times New Roman;Times;Serif" w:hAnsi="Times New Roman;Times;Serif"/>
          <w:b/>
          <w:i w:val="false"/>
          <w:caps w:val="false"/>
          <w:smallCaps w:val="false"/>
          <w:sz w:val="20"/>
        </w:rPr>
        <w:t xml:space="preserve">Nasdaq </w:t>
      </w:r>
      <w:r>
        <w:rPr>
          <w:rFonts w:ascii="Times New Roman;Times;Serif" w:hAnsi="Times New Roman;Times;Serif"/>
          <w:b/>
          <w:i/>
          <w:caps w:val="false"/>
          <w:smallCaps w:val="false"/>
          <w:sz w:val="20"/>
        </w:rPr>
        <w:t>Capital Market, we may choose to exempt our company from certain corporate governance requirements that could have an adverse effect on our public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beneficially own a majority of the voting power of our outstanding Common Stock.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common stock to look less attractive to certain investors or otherwise harm our trading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consolidate the financial results of some of our affiliated companies or such consolidation could materially adversely affect our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a 97.27% economic interest and 31.51% voting power in Libra, while Nautilus International Group Limited (an independent third party) (“Nautilus”) holds 68.26% of Libra’s voting power. Our economic interest is based on owning 7,700,000 shares of Libra’s Class A Common Stock and our voting power is based on the combination of those shares and 2,000,000 shares of Libra’s Class B Common Stock that we own. Each share of Libra’s Class A Common Stock is entitled to one vote and each share of Libra’s Class B Common Stock is entitled to ten votes. We do not consider ourselves to be the primary beneficiary over Libra and therefore do not currently consolidate Libra into our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Nasdaq Capital Market, we would face possible delisting, which would result in a limited public market for our shares and make obtaining future debt or equity financing more difficult for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were transferred to the Nasdaq Capital Market at the opening of business on August 10, 2023, and the trading activities of Aptorum Class A ordinary shares was not affected. The transfer became effective on August 10, 2023, thereby closing the prior deficiencies on the Nasdaq Global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eligible for future sale may adversely affect the market price of our common stock if the shares are successfully listed on the Nasdaq Capital Market or other stock markets, as the future sale of a substantial amount of outstanding common stock in the public marketplace could reduce the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could decline as a result of sales of substantial amounts of our common stock in the public market, or the perception that these sales could occur. In addition, these factors could make it more difficult for us to raise funds through future offerings of our common stock. An aggregate of 2,938,625 shares of common stock are outstanding as of the date hereof and all of them are freely transferable without restriction or further registration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sale or perceived sale of a substantial number of our common stock may cause the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shareholders sell substantial amounts of our common stock in the public market, the market price of our common stock could fall. Moreover, the perceived risk of this potential dilution could cause shareholders to attempt to sell their shares and investors to short our common stock. These sales also may make it more difficult for us to sell equity or equity-related securities in the future at a time and price that we deem reasonable or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Issuances by us of additional securities could affect ownership and voting rights over us. In addition, the issuance of preferred shares, or options or warrants to purchase such preferred shares, could negatively impact the value of our common stock as the result of preferential dividend rights, conversion rights, redemption rights and liquidation provisions granted to the stockholders of such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not paid dividends in the past and do not expect to pay dividends in the future, and any return on investment may be limited to the value of our shares.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our common stock and do not anticipate paying any cash dividends on our common stock in the foreseeable future, and any return on investment may be limited to the value of our common stock. We plan to retain any future earnings to finance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the General Corporation Law of the State of Delaware, dividends may be declared and paid only out of surplus (the excess of net assets over capital) or, in the absence of surplus, out of net profits for the fiscal year in which the dividend is declared and/or the preceding fiscal year. A dividend may not be paid if, after giving it effect, the Company would be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our shareholders, restrict our operations or require us to relinquish rights to our technology or drug and diagnostics technology candidates.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our common stock.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our common stock to decline. In the event that we enter into collaborations or licensing arrangements to raise capital, we may be required to accept unfavorable terms, including relinquishing or licensing to another party on unfavorable terms our rights to technology or drug and diagnostics technology candidates that we otherwise would seek to develop or commercialize ourselves or potentially reserve for future potential arrangements when we might be able to achieve more favorable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auditor has expressed substantial doubt about our ability to continue as a going concern. We may be unable to obtain additional capital on favorable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an active, liquid and orderly trading market for our common stock and our stock price may be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liquid and orderly trading markets usually result in less price volatility and more efficiency in carrying out investors’ purchase and sale orders. The market price of our common stock could vary significantly as a result of a number of factors, some of which are beyond our control. In the event of a drop in the market price of our common stock, you could lose a substantial part or all of your investment in our shares.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could affect our share price:</w:t>
      </w:r>
    </w:p>
    <w:p>
      <w:pPr>
        <w:pStyle w:val="TextBody"/>
        <w:bidi w:val="0"/>
        <w:spacing w:before="0" w:after="0"/>
        <w:ind w:left="960" w:right="0" w:hanging="48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170"/>
        <w:gridCol w:w="33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operating and financial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quarterly variations in the rate of growth of our financial indicators, such as net income per share, net income and revenues;</w:t>
            </w:r>
          </w:p>
        </w:tc>
      </w:tr>
    </w:tbl>
    <w:p>
      <w:pPr>
        <w:pStyle w:val="TextBody"/>
        <w:bidi w:val="0"/>
        <w:spacing w:before="0" w:after="0"/>
        <w:ind w:left="960" w:right="0" w:hanging="480"/>
        <w:jc w:val="both"/>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75"/>
        <w:gridCol w:w="170"/>
        <w:gridCol w:w="83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public reaction to our press releases, our other public announcements and our filings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75"/>
        <w:gridCol w:w="170"/>
        <w:gridCol w:w="2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strategic actions by our competitors;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revenue or earnings estimates, or changes in recommendations or withdrawal of research coverage, by equity research analysts;</w:t>
            </w:r>
          </w:p>
        </w:tc>
      </w:tr>
    </w:tbl>
    <w:p>
      <w:pPr>
        <w:pStyle w:val="TextBody"/>
        <w:bidi w:val="0"/>
        <w:spacing w:before="0" w:after="0"/>
        <w:ind w:left="960" w:right="0" w:hanging="48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75"/>
        <w:gridCol w:w="170"/>
        <w:gridCol w:w="41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speculation in the press or investment community;</w:t>
            </w:r>
          </w:p>
        </w:tc>
      </w:tr>
    </w:tbl>
    <w:p>
      <w:pPr>
        <w:pStyle w:val="TextBody"/>
        <w:bidi w:val="0"/>
        <w:spacing w:before="0" w:after="0"/>
        <w:ind w:left="960" w:right="0" w:hanging="48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75"/>
        <w:gridCol w:w="170"/>
        <w:gridCol w:w="4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failure of research analysts to cover our 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70"/>
        <w:gridCol w:w="8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sales of our common stock by us or other shareholders, or the perception that such sales may occur;</w:t>
            </w:r>
          </w:p>
        </w:tc>
      </w:tr>
    </w:tbl>
    <w:p>
      <w:pPr>
        <w:pStyle w:val="TextBody"/>
        <w:bidi w:val="0"/>
        <w:spacing w:before="0" w:after="0"/>
        <w:ind w:left="960" w:right="0" w:hanging="48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accounting principles, policies, guidance, interpretations or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4675" w:type="dxa"/>
        <w:jc w:val="left"/>
        <w:tblInd w:w="0" w:type="dxa"/>
        <w:tblLayout w:type="fixed"/>
        <w:tblCellMar>
          <w:top w:w="0" w:type="dxa"/>
          <w:left w:w="0" w:type="dxa"/>
          <w:bottom w:w="0" w:type="dxa"/>
          <w:right w:w="0" w:type="dxa"/>
        </w:tblCellMar>
      </w:tblPr>
      <w:tblGrid>
        <w:gridCol w:w="75"/>
        <w:gridCol w:w="170"/>
        <w:gridCol w:w="44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additions or departures of key management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170"/>
        <w:gridCol w:w="23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actions by our shareholders;</w:t>
            </w:r>
          </w:p>
        </w:tc>
      </w:tr>
    </w:tbl>
    <w:p>
      <w:pPr>
        <w:pStyle w:val="TextBody"/>
        <w:bidi w:val="0"/>
        <w:spacing w:before="0" w:after="0"/>
        <w:ind w:left="960" w:right="0" w:hanging="480"/>
        <w:jc w:val="both"/>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75"/>
        <w:gridCol w:w="170"/>
        <w:gridCol w:w="8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domestic and international economic, legal and regulatory factors unrelated to our performance; and</w:t>
            </w:r>
          </w:p>
        </w:tc>
      </w:tr>
    </w:tbl>
    <w:p>
      <w:pPr>
        <w:pStyle w:val="TextBody"/>
        <w:bidi w:val="0"/>
        <w:spacing w:before="0" w:after="0"/>
        <w:ind w:left="960" w:right="0" w:hanging="48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realization of any risks describes under this “Risk Factors” section.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Doing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our common stock, to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risks associated with conducting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prospectus, we maintain a significant portion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our common stock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2021, the SEC adopted amendments to finalize rules implementing the submission and disclosure requirements in the HFCA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the State of Delaware,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prospectus, we and our subsidiaries have not received any notice of identifying us as critical information infrastructure from any relevant PRC governmental authorities; and (vi) as of the date of this prospectus, none of us or our subsidiaries have been informed by any PRC governmental authority of any requirement for a cybersecurity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The Company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assessment conducted by the management, we are not subject to the Trial Measures, because we are incorporated in the State of Delaware and our subsidiaries are incorporated in the State of Delaware,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prospectus, we and our subsidiaries have not collected, stored, or managed any personal information in mainland China. Therefore, we believe that the Measures is not applicable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Common Stock to investors and cause the value of our Common Stock to significantly decline or be worthless, it could also result in a material change to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political risks associated with conducting business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a significant portion of our operations are based in Hong Kong, any change of such political arrangements may pose an immediate threat to the stability of the economy in Hong Kong, thereby directly and adversely affecting our results of operations and financial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Common Stock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Nasdaq may apply additional and more stringent criteria for our continued listing because our insiders hold a large portion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subsidiaries’ business, our financial condition and results of operations, and/or the value of our common stock or our ability to offer or continue to offer securities to investors may be materially and adversely affected by existing or future PRC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was in, and members of management and our board continue to maintain an office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and discretion over the manner in which companies incorporated under the laws of PRC must conduct their business activities, which may result in a material change in our operations and/or the value of our common stock, which would materially affect the interest of the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we hold a majority of Libra’s outstanding Class A ordinary shares and therefore will absorb/receive portions of its expected losses or residual returns, it was determined that we maintains a variable interest in Libra; however, as stated elsewhere in this prospectus statement, we are not the primary beneficiary of Libra. Our principal executive offices are located in Princeton, New Jersey in the United States, although our Chief Executive Officer and several directors maintain an office in Hong Kong, a special administrative region of China. The PRC government influences and has discretion over the manner in which we conduct our business activities outside of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our common stock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our common stock, to significantly decline or be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enactment of Law of the PRC on Safeguarding National Security in the Hong Kong Special Administrative Region (the “Hong Kong National Security Law”) could impact our Hong Kong holding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our common stock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our common stock. However, there remains significant uncertainty as to the enactment, interpretation and implementation of regulatory requirements related to overseas securities offerings and other capital markets activities. If it is determined that we are subject to the Trial Measures for the listing of our Common Stock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our common stock in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our common stock, cause significant disruption to our business operations, severely damage our reputation, materially and adversely affect our financial condition and results of operations, and cause the common stock to significantly decline in value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our daily business operations, our ability to accept foreign investments and the listing of our common stock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our common stock may also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Operations in Hong Kong are subject to risks associated with the broader PRC that could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several risks associated with our operations in Hong Kong, including but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and Economic Instability: Ongoing tensions between the PRC and other countries, particularly the U.S., may affect trade policies, tariffs, and overall market conditions, which could disrupt our supply chain or future business in Hong Kong.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our common stock and do not anticipate paying any cash dividends on our common stock in the foreseeable future, and any return on investment may be limited to the value of our common stock. We plan to retain any future earnings to finance growth.</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Hong Kong’s Evolving Legal Environment: The integration of certain aspects of Hong Kong’s governance with the PRC’s legal framework has created uncertainties regarding autonomy, regulatory consistency, and legal protections.</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December 31, 2025, we have transferred the noted amount to the referenced subsidiary:</w:t>
      </w:r>
    </w:p>
    <w:p>
      <w:pPr>
        <w:pStyle w:val="TextBody"/>
        <w:bidi w:val="0"/>
        <w:spacing w:before="0" w:after="0"/>
        <w:ind w:left="48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305"/>
        <w:gridCol w:w="60"/>
        <w:gridCol w:w="60"/>
        <w:gridCol w:w="1400"/>
        <w:gridCol w:w="75"/>
      </w:tblGrid>
      <w:tr>
        <w:trPr/>
        <w:tc>
          <w:tcPr>
            <w:tcW w:w="3305" w:type="dxa"/>
            <w:tcBorders>
              <w:bottom w:val="single" w:sz="12" w:space="0" w:color="000000"/>
            </w:tcBorders>
            <w:vAlign w:val="center"/>
          </w:tcPr>
          <w:p>
            <w:pPr>
              <w:pStyle w:val="TableContents"/>
              <w:bidi w:val="0"/>
              <w:spacing w:before="0" w:after="283"/>
              <w:jc w:val="left"/>
              <w:rPr>
                <w:b/>
              </w:rPr>
            </w:pPr>
            <w:r>
              <w:rPr>
                <w:b/>
              </w:rPr>
              <w:t>Subsidiaries</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US$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Aptus Management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62,719,786.14</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Medical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1,624,166.03</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Therapeutics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15,369,903.99</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Acticule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4,972,079.05</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Innovations Holding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15,087.11</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Aptorum Innovations Holding Pte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442,201.61</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Group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4,337.75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Claves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331,959.92</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Scipio Life Sciences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151,710.07</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FFFFFF" w:val="clear"/>
            <w:tcMar>
              <w:bottom w:w="0" w:type="dxa"/>
            </w:tcMar>
            <w:vAlign w:val="center"/>
          </w:tcPr>
          <w:p>
            <w:pPr>
              <w:pStyle w:val="TableContents"/>
              <w:bidi w:val="0"/>
              <w:spacing w:before="0" w:after="283"/>
              <w:jc w:val="left"/>
              <w:rPr/>
            </w:pPr>
            <w:r>
              <w:rPr/>
              <w:t>Signate Life Sciences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0" w:type="dxa"/>
            <w:tcBorders/>
            <w:shd w:fill="FFFFFF" w:val="clear"/>
            <w:tcMar>
              <w:bottom w:w="0" w:type="dxa"/>
            </w:tcMar>
            <w:vAlign w:val="center"/>
          </w:tcPr>
          <w:p>
            <w:pPr>
              <w:pStyle w:val="TableContents"/>
              <w:bidi w:val="0"/>
              <w:spacing w:before="0" w:after="283"/>
              <w:jc w:val="right"/>
              <w:rPr/>
            </w:pPr>
            <w:r>
              <w:rPr/>
              <w:t>319,385.76</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305" w:type="dxa"/>
            <w:tcBorders/>
            <w:shd w:fill="CCEEFF" w:val="clear"/>
            <w:tcMar>
              <w:bottom w:w="0" w:type="dxa"/>
            </w:tcMar>
            <w:vAlign w:val="center"/>
          </w:tcPr>
          <w:p>
            <w:pPr>
              <w:pStyle w:val="TableContents"/>
              <w:bidi w:val="0"/>
              <w:spacing w:before="0" w:after="283"/>
              <w:jc w:val="left"/>
              <w:rPr/>
            </w:pPr>
            <w:r>
              <w:rPr/>
              <w:t>Aptorum Pharmaceutical Dev.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0" w:type="dxa"/>
            <w:tcBorders/>
            <w:shd w:fill="CCEEFF" w:val="clear"/>
            <w:tcMar>
              <w:bottom w:w="0" w:type="dxa"/>
            </w:tcMar>
            <w:vAlign w:val="center"/>
          </w:tcPr>
          <w:p>
            <w:pPr>
              <w:pStyle w:val="TableContents"/>
              <w:bidi w:val="0"/>
              <w:spacing w:before="0" w:after="283"/>
              <w:jc w:val="right"/>
              <w:rPr/>
            </w:pPr>
            <w:r>
              <w:rPr/>
              <w:t>7,300.00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adverse developments related to our operations in Hong Kong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with respect to the legal system of the People’s Republic of China (the “PRC”) and tax regime, including uncertainties regarding the enforcement of laws, and sudden or unexpected changes in policies, laws, and regulations in the PRC could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overseas shareholders and/or regulators to conduct investigations or collect evidence within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ceased to qualify as an “emerging growth company” and will incur increased costs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DiamiR’s Business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DiamiR is a wholly-owned subsidiary of the Company. The following risk factors relate specifically to DiamiR’s business and operations, which may materially affect the Company’s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DiamiR will not achieve future sales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DiamiR may not be able to carry out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DiamiR may not be able to find replacements or transition to alternative suppliers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ability to commercialize the diagnostic products that DiamiR develops is dependent on its relationships with laboratory services providers and support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DiamiR may develop. A lack of acceptance of DiamiR’s products by these service providers could result in lower test volume. DiamiR’s business may suffer from the repetition of the process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intends to market some of its tests as LDTs, and future changes in FDA enforcement discretion for LDTs could subject its operations to much more significant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a limited operating history, which makes it difficult to predict future prospects and financial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maintain relationships with key customers and strategic partners that will be necessary to optimize the market value of its products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successfully identify and respond to emerging trends in DiamiR’s market areas;</w:t>
            </w:r>
          </w:p>
        </w:tc>
      </w:tr>
    </w:tbl>
    <w:p>
      <w:pPr>
        <w:pStyle w:val="TextBody"/>
        <w:bidi w:val="0"/>
        <w:spacing w:before="0" w:after="0"/>
        <w:ind w:left="960" w:right="0" w:hanging="48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75"/>
        <w:gridCol w:w="170"/>
        <w:gridCol w:w="5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raise sufficient capital in the public and/or private markets; or</w:t>
            </w:r>
          </w:p>
        </w:tc>
      </w:tr>
    </w:tbl>
    <w:p>
      <w:pPr>
        <w:pStyle w:val="TextBody"/>
        <w:bidi w:val="0"/>
        <w:spacing w:before="0" w:after="0"/>
        <w:ind w:left="960" w:right="0" w:hanging="48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respond effectively to competitive pressures.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ongoing uncertainty in global economic conditions may negatively impact DiamiR’s business, operating results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faces significant, evolving competition which, if it fails to properly address, could adversely affect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 merger and acquisition activity among a number of its competitors in recent years. Transaction induced pressures, or other related factors may result in negative market dynamics that could adversely affect DiamiR’s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engage in future acquisitions, which may be expensive and time consuming and from which it may not realize anticipated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potentially dilutive issuances of its securities, the incurrence of debt and contingent liabilities and amortization expenses related to intangible assets with indefinite useful lives, which could adversely affect its results of operations and financial condition;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using cash as acquisition currency may adversely affect interest or investment income, which may in turn adversely affect its earnings and/or earnings per share;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fully or effectively integrating any acquired technologies or software products into its current products and technologies, which would prevent DiamiR from realizing the intended benefits of the acquisition;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predicting and responding to issues related to product transition such as development, distribution and client support;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possible adverse effect of such acquisitions on existing relationships with third party partners and suppliers of technologies and services;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staff or clients of the acquired company might not accept new ownership and may transition to different technologies or attempt to renegotiate contract terms or relationships, including maintenance or support agreements;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p>
        </w:tc>
      </w:tr>
    </w:tbl>
    <w:p>
      <w:pPr>
        <w:pStyle w:val="TextBody"/>
        <w:bidi w:val="0"/>
        <w:spacing w:before="0" w:after="0"/>
        <w:ind w:left="960" w:right="0" w:hanging="480"/>
        <w:jc w:val="both"/>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entering geographic and business markets in which DiamiR has no or limited prior experience;</w:t>
            </w:r>
          </w:p>
        </w:tc>
      </w:tr>
    </w:tbl>
    <w:p>
      <w:pPr>
        <w:pStyle w:val="TextBody"/>
        <w:bidi w:val="0"/>
        <w:spacing w:before="0" w:after="0"/>
        <w:ind w:left="960" w:right="0" w:hanging="480"/>
        <w:jc w:val="both"/>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difficulty in integrating acquired operations due to geographical distance and language and cultural differences;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possibility that acquired assets become impaired, requiring DiamiR to take a charge to earnings which could be significant.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failure to successfully integrate acquired businesses or technology could, for any of these reasons, have an adverse effect on DiamiR’s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operations are dependent upon its key personnel. If such personnel were to leave unexpectedly, DiamiR may not be able to execute its business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 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has identified material weaknesses in its internal control over financial reporting which, if not corrected, could affect the reliability of its financial statements, and have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audits of DiamiR’s financial statements for the years ended May 31, 2026 and 2025,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DiamiR has been operating as a private company, it did not have the necessary formalized processes to effectively implement review controls within its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elimination of personal liability against DiamiR’s directors and officers under Delaware law and the existence of indemnification rights held by its directors, officers and employees may result in substantial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if DiamiR does not successfully implement, maintain or expand these systems as planned, DiamiR’s operations may be disrupted, its ability to accurately and/or timely report its financial results could be impaired and deficiencies may arise in the Company’s internal control over financial reporting (including with respect to DiamiR as a consolidated subsidiary), which may impact the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expects them to, DiamiR or the Company may be required to expend significant resources to make corrections or find alternative sources for performing these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cyber security incident could cause a violation of the Health Insurance Portability and Accountability Act (HIPAA) and/or state consumer privacy laws, breach of customer and patient privacy, or other negative impacts.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and, by extension, the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DiamiR’s Products and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it will not achieve future sales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make significant investments in product development and marketing resources. In addition, competitors may develop and commercialize competing products faster than DiamiR are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it may not be able to carry out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research and development efforts will be hindered if it is not able to acquire or contract with third parties for access to additional plasma samples.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it may not be able to find replacements or transition to alternative suppliers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it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DiamiR’s ability to commercialize the diagnostic products that it develops is dependent on its relationships with laboratory services providers and support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it may develop. A lack of acceptance of its products by these service providers could result in lower test volume. DiamiR’s business may suffer from the repetition of the process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use third party collaborators to help it develop, validate, or commercialize any new products, and its ability to commercialize such products could be impaired or delayed if these collaborations are unsuccessful.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cannot enter into new clinical study collaborations, its product development and subsequent commercialization could be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is unable to identify collaborators willing to work with it to conduct clinical utility studies, or the results of those studies do not demonstrate that a molecular diagnostic test do not impact patient treatment or physician behavior, commercial adoption of such test may be slow, which would negatively impact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future, DiamiR may rely on third parties to process and transmit claims to payers for its clinical services, and any delay in processing or transmitting could have an adverse effect on its revenue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recognizes that there are inherent risks associated with third-party relationships, which may adversely affect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their relationships with DiamiR. DiamiR does not have control over the amount of time and effort and level of care its third-party service providers will devote to performing their responsibilities under DiamiR’s agreements with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is unable to use or maintain its trademarks and trade names or build brand recognition in its markets of interest, its business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US Federal trademarks for the marks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DiamiR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DiamiR or the Company, leading a court to decide that one or more of DiamiR’s trademarks is not valid or unenforceable and enjoin DiamiR from further use of the same. If DiamiR is unable to use or maintain its company marks for purposes of building brand recognition by potential partners or customers or DiamiR is unable to establish brand recognition based on those trademarks and trade names, then it may not be able to compete effectively, and DiamiR’s business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be unable to develop new products and services or acquire products and services on favorable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laboratory becomes inoperable for any reason, DiamiR will be unable to perform its testing and its business will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landlord does not renew its lease, its clinical and testing operations will be halted until DiamiR locates and sets up a new laboratory.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DiamiR’s information technology or communications systems fail or DiamiR experiences a significant interruption in their operation, its reputation, business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Regulation Affecting DiamiR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now or in the future be subject to laws and regulations relating to laboratory testing, which could materially adversely impact its ability to offer its products or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any of its product candidates are approved, DiamiR may be adversely affected by healthcare policy changes, including additional healthcare reform and changes in managed healthcare.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regulatory processes applicable to its products and operations are expensive, time-consuming, and uncertain and may prevent DiamiR from obtaining required authorizations for the commercialization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announced in May 2025 that it will not appeal this decision. If the FDA changes its position on this appeal, and wins on appeal, risks associated with the new landscape of LDTs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75"/>
        <w:gridCol w:w="170"/>
        <w:gridCol w:w="6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inability to implement quality standards included in the new guidelines</w:t>
            </w:r>
          </w:p>
        </w:tc>
      </w:tr>
    </w:tbl>
    <w:p>
      <w:pPr>
        <w:pStyle w:val="TextBody"/>
        <w:bidi w:val="0"/>
        <w:spacing w:before="0" w:after="0"/>
        <w:ind w:left="960" w:right="0" w:hanging="480"/>
        <w:jc w:val="both"/>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DiamiR’s inability to implement all FDA requirements for LDTs</w:t>
            </w:r>
          </w:p>
        </w:tc>
      </w:tr>
    </w:tbl>
    <w:p>
      <w:pPr>
        <w:pStyle w:val="TextBody"/>
        <w:bidi w:val="0"/>
        <w:spacing w:before="0" w:after="0"/>
        <w:ind w:left="960" w:right="0" w:hanging="48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Backlog at the FDA for review of submission</w:t>
            </w:r>
          </w:p>
        </w:tc>
      </w:tr>
    </w:tbl>
    <w:p>
      <w:pPr>
        <w:pStyle w:val="TextBody"/>
        <w:bidi w:val="0"/>
        <w:spacing w:before="0" w:after="0"/>
        <w:ind w:left="960" w:right="0" w:hanging="48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75"/>
        <w:gridCol w:w="170"/>
        <w:gridCol w:w="4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Additional regulations being adopted by the FDA</w:t>
            </w:r>
          </w:p>
        </w:tc>
      </w:tr>
    </w:tbl>
    <w:p>
      <w:pPr>
        <w:pStyle w:val="TextBody"/>
        <w:bidi w:val="0"/>
        <w:spacing w:before="0" w:after="0"/>
        <w:ind w:left="960" w:right="0" w:hanging="480"/>
        <w:jc w:val="both"/>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timeline to product launch, delaying revenue for the company</w:t>
            </w:r>
          </w:p>
        </w:tc>
      </w:tr>
    </w:tbl>
    <w:p>
      <w:pPr>
        <w:pStyle w:val="TextBody"/>
        <w:bidi w:val="0"/>
        <w:spacing w:before="0" w:after="0"/>
        <w:ind w:left="960" w:right="0" w:hanging="48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regulatory oversight resulting in delays for product launch</w:t>
            </w:r>
          </w:p>
        </w:tc>
      </w:tr>
    </w:tbl>
    <w:p>
      <w:pPr>
        <w:pStyle w:val="TextBody"/>
        <w:bidi w:val="0"/>
        <w:spacing w:before="0" w:after="0"/>
        <w:ind w:left="960" w:right="0" w:hanging="480"/>
        <w:jc w:val="both"/>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75"/>
        <w:gridCol w:w="170"/>
        <w:gridCol w:w="5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costs of product development and regulatory compliance</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960" w:right="0" w:hanging="480"/>
        <w:jc w:val="both"/>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75"/>
        <w:gridCol w:w="170"/>
        <w:gridCol w:w="24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costs may arise from:</w:t>
            </w:r>
          </w:p>
        </w:tc>
      </w:tr>
    </w:tbl>
    <w:p>
      <w:pPr>
        <w:pStyle w:val="TextBody"/>
        <w:bidi w:val="0"/>
        <w:spacing w:before="0" w:after="0"/>
        <w:ind w:left="1440" w:right="0" w:hanging="48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More expansive validation study design</w:t>
            </w:r>
          </w:p>
        </w:tc>
      </w:tr>
    </w:tbl>
    <w:p>
      <w:pPr>
        <w:pStyle w:val="TextBody"/>
        <w:bidi w:val="0"/>
        <w:spacing w:before="0" w:after="0"/>
        <w:ind w:left="1440" w:right="0" w:hanging="480"/>
        <w:jc w:val="both"/>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75"/>
        <w:gridCol w:w="170"/>
        <w:gridCol w:w="38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additional regulatory compliance talent</w:t>
            </w:r>
          </w:p>
        </w:tc>
      </w:tr>
    </w:tbl>
    <w:p>
      <w:pPr>
        <w:pStyle w:val="TextBody"/>
        <w:bidi w:val="0"/>
        <w:spacing w:before="0" w:after="0"/>
        <w:ind w:left="1440" w:right="0" w:hanging="48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170"/>
        <w:gridCol w:w="2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Hiring additional statistical experts</w:t>
            </w:r>
          </w:p>
        </w:tc>
      </w:tr>
    </w:tbl>
    <w:p>
      <w:pPr>
        <w:pStyle w:val="TextBody"/>
        <w:bidi w:val="0"/>
        <w:spacing w:before="0" w:after="0"/>
        <w:ind w:left="1440" w:right="0" w:hanging="48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unanticipated costs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health crises may divert regulatory resources and attention away from approval processes for its products. This could materially lengthen the regulatory approval process of new products, which would delay expected commercialization of such new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also subject to various U.S. healthcare related laws regulating sales, contracting, marketing, and other business arrangements and the use and disclosure of individually identifiable health information. These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requirements have been adopted by many states and foreign countries. Violations of any of these laws can lead to additional legal risk such as risk of plaintiff class actions, state Attorney General actions, and investigations by the Federal Trade Commission,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w:t>
      </w:r>
    </w:p>
    <w:p>
      <w:pPr>
        <w:pStyle w:val="TextBody"/>
        <w:bidi w:val="0"/>
        <w:spacing w:before="0" w:after="0"/>
        <w:ind w:left="960" w:right="0" w:hanging="48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170"/>
        <w:gridCol w:w="38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administrative or judicially imposed sanctions;</w:t>
            </w:r>
          </w:p>
        </w:tc>
      </w:tr>
    </w:tbl>
    <w:p>
      <w:pPr>
        <w:pStyle w:val="TextBody"/>
        <w:bidi w:val="0"/>
        <w:spacing w:before="0" w:after="0"/>
        <w:ind w:left="960" w:right="0" w:hanging="480"/>
        <w:jc w:val="both"/>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70"/>
        <w:gridCol w:w="38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injunctions or the imposition of civil penalties;</w:t>
            </w:r>
          </w:p>
        </w:tc>
      </w:tr>
    </w:tbl>
    <w:p>
      <w:pPr>
        <w:pStyle w:val="TextBody"/>
        <w:bidi w:val="0"/>
        <w:spacing w:before="0" w:after="0"/>
        <w:ind w:left="960" w:right="0" w:hanging="48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70"/>
        <w:gridCol w:w="31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recall or seizure of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75"/>
        <w:gridCol w:w="170"/>
        <w:gridCol w:w="37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7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corrective field actions for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submission of reports to FDA or other regulatory authorities;</w:t>
            </w:r>
          </w:p>
        </w:tc>
      </w:tr>
    </w:tbl>
    <w:p>
      <w:pPr>
        <w:pStyle w:val="TextBody"/>
        <w:bidi w:val="0"/>
        <w:spacing w:before="0" w:after="0"/>
        <w:ind w:left="960" w:right="0" w:hanging="48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75"/>
        <w:gridCol w:w="170"/>
        <w:gridCol w:w="45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or partial suspension of production or distribution;</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960" w:right="0" w:hanging="48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75"/>
        <w:gridCol w:w="170"/>
        <w:gridCol w:w="51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withdrawal or suspension of marketing clearances or approvals;</w:t>
            </w:r>
          </w:p>
        </w:tc>
      </w:tr>
    </w:tbl>
    <w:p>
      <w:pPr>
        <w:pStyle w:val="TextBody"/>
        <w:bidi w:val="0"/>
        <w:spacing w:before="0" w:after="0"/>
        <w:ind w:left="960" w:right="0" w:hanging="48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holds for investigations;</w:t>
            </w:r>
          </w:p>
        </w:tc>
      </w:tr>
    </w:tbl>
    <w:p>
      <w:pPr>
        <w:pStyle w:val="TextBody"/>
        <w:bidi w:val="0"/>
        <w:spacing w:before="0" w:after="0"/>
        <w:ind w:left="960" w:right="0" w:hanging="480"/>
        <w:jc w:val="both"/>
        <w:rPr>
          <w:caps w:val="false"/>
          <w:smallCaps w:val="false"/>
        </w:rPr>
      </w:pPr>
      <w:r>
        <w:rPr>
          <w:caps w:val="false"/>
          <w:smallCaps w:val="false"/>
        </w:rPr>
        <w:t> </w:t>
      </w:r>
    </w:p>
    <w:tbl>
      <w:tblPr>
        <w:tblW w:w="2980" w:type="dxa"/>
        <w:jc w:val="left"/>
        <w:tblInd w:w="0" w:type="dxa"/>
        <w:tblLayout w:type="fixed"/>
        <w:tblCellMar>
          <w:top w:w="0" w:type="dxa"/>
          <w:left w:w="0" w:type="dxa"/>
          <w:bottom w:w="0" w:type="dxa"/>
          <w:right w:w="0" w:type="dxa"/>
        </w:tblCellMar>
      </w:tblPr>
      <w:tblGrid>
        <w:gridCol w:w="75"/>
        <w:gridCol w:w="170"/>
        <w:gridCol w:w="2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untitled letters or warning letters;</w:t>
            </w:r>
          </w:p>
        </w:tc>
      </w:tr>
    </w:tbl>
    <w:p>
      <w:pPr>
        <w:pStyle w:val="TextBody"/>
        <w:bidi w:val="0"/>
        <w:spacing w:before="0" w:after="0"/>
        <w:ind w:left="960" w:right="0" w:hanging="480"/>
        <w:jc w:val="both"/>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refusal to permit the import or export of DiamiR’s products;</w:t>
            </w:r>
          </w:p>
        </w:tc>
      </w:tr>
    </w:tbl>
    <w:p>
      <w:pPr>
        <w:pStyle w:val="TextBody"/>
        <w:bidi w:val="0"/>
        <w:spacing w:before="0" w:after="0"/>
        <w:ind w:left="960" w:right="0" w:hanging="48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170"/>
        <w:gridCol w:w="2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criminal prosecution; and</w:t>
            </w:r>
          </w:p>
        </w:tc>
      </w:tr>
    </w:tbl>
    <w:p>
      <w:pPr>
        <w:pStyle w:val="TextBody"/>
        <w:bidi w:val="0"/>
        <w:spacing w:before="0" w:after="0"/>
        <w:ind w:left="960" w:right="0" w:hanging="480"/>
        <w:jc w:val="both"/>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exclusion or debarment from participation in federal health care programs such as Medicare and Medicaid.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actions, in combination or alone, could prevent DiamiR from marketing, distributing and selling DiamiR’s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DiamiR fails to comply with federal, state and foreign laboratory licensing requirements, DiamiR could lose the ability to perform its tests or experience disruptions to its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DiamiR’s Intellectual Property and Product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DiamiR may be unable to protect or obtain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infringement claims by other companies could result in costly disputes and could limit DiamiR’s ability to sell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product liability lawsuits are successfully brought against DiamiR, DiamiR may incur substantial liabilities and may have to limit or cease sales of its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SELECTED FINANCIAL DATA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(0.78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5,453,103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8,143,757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5,608,757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ADJUSTED FOR 1-FOR-10 REVERSE </w:t>
      </w:r>
      <w:r>
        <w:rPr>
          <w:rFonts w:ascii="Times New Roman;Times;Serif" w:hAnsi="Times New Roman;Times;Serif"/>
          <w:b/>
          <w:i/>
          <w:caps w:val="false"/>
          <w:smallCaps w:val="false"/>
          <w:sz w:val="20"/>
        </w:rPr>
        <w:t>STOCK SPLIT</w:t>
      </w:r>
      <w:r>
        <w:rPr>
          <w:rFonts w:ascii="Times New Roman;Times;Serif" w:hAnsi="Times New Roman;Times;Serif"/>
          <w:b/>
          <w:i w:val="false"/>
          <w:caps w:val="false"/>
          <w:smallCaps w:val="false"/>
          <w:sz w:val="20"/>
        </w:rPr>
        <w:t xml:space="preserve"> (unaudited)</w:t>
      </w:r>
    </w:p>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46"/>
        <w:gridCol w:w="1103"/>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735,178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545,310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year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560,875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5"/>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the securities under this prospectus for general corporate purposes, including for general working capital purposes, which may include the repayment of outstanding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6"/>
      <w:bookmarkEnd w:id="20"/>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immediate dilution from the public offering price which will be absorbed by such purchasers.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7"/>
      <w:bookmarkEnd w:id="21"/>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160,000,000 shares of capital stock consisting of preferred stock and common stock. Below is a summary of the material terms of each such class.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were 2,938,625 shares of our Common Stock and 179,693 shares of Series A Preferred Stock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150,000,000 shares of common stock, with a par value of $0.0001 per share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Common Stock is entitled to one vote for each share of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Common Stock are entitled to 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Common Stock is entitled to preemptive or subscription rights contained in the Charter or in the Bylaws. There are no redemption or sinking fund provisions applicable to the Common Stock. The rights, preferences, and privileges of holders of the Common Stock are subject to those of the holders of any shares of the preferred stock that the Company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10,000,000 shares of Preferred Stock, with a par value of $0.0001 per share (“Preferred Stock”). The Preferred Stock may be issued from time to time in one or more series. The board of directors of the Corporation is hereby expressly authorized, by resolution or resolutions thereof, to provide for the issuance of one or more series of Preferred Stock and, with respect to each such series, to fix the number of shares constituting such series and the designation, powers (including voting powers), preferences and relative, participating, optional or other special rights, if any, and any qualifications, limitations or restrictions thereof. The powers, preferences, and rights of each series of Preferred Stock may differ from those of any and all other series at any time outstanding. The Common Stock (as defined below) shall be subject to the express terms of the Preferred Stock and any series thereof.</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designated 1,810,000 shares of Preferred Stock as Series A Preferred Stock. The holders of Series A Preferred Stock do not have any voting rights and shares of Series A Preferred Stock are not convertible. The Series A Preferred Stock is not redeemable. Upon the completion of a distribution pursuant to a sale or other disposition of all or substantially all of our assets, certain mergers, consolidations and transfers of securities, and any liquidation, dissolution or winding up of the Company, the holders of Series A Preferred Stock are entitled to receive a distribution of any proceeds based on the 70/30 allocation with the holders of Common Stock, (as adjusted for any stock splits, stock dividends, combinations, recapitalizations or the like with respect to the Series A Preferred Stock), plus declared but unpaid dividends on such share.</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in one or more offerings pursuant to this registration statement, the following securities:</w:t>
      </w:r>
    </w:p>
    <w:p>
      <w:pPr>
        <w:pStyle w:val="TextBody"/>
        <w:bidi w:val="0"/>
        <w:spacing w:before="0" w:after="0"/>
        <w:ind w:left="0" w:right="0" w:firstLine="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sz w:val="20"/>
              </w:rPr>
            </w:pPr>
            <w:r>
              <w:rPr>
                <w:sz w:val="20"/>
              </w:rPr>
              <w:t>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shares of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170"/>
        <w:gridCol w:w="1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sz w:val="20"/>
              </w:rPr>
            </w:pPr>
            <w:r>
              <w:rPr>
                <w:sz w:val="20"/>
              </w:rPr>
              <w:t>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sz w:val="20"/>
              </w:rPr>
            </w:pPr>
            <w:r>
              <w:rPr>
                <w:sz w:val="20"/>
              </w:rPr>
              <w:t>warrants exercisable for debt securities,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sz w:val="20"/>
              </w:rPr>
            </w:pPr>
            <w:r>
              <w:rPr>
                <w:sz w:val="20"/>
              </w:rPr>
              <w:t>subscription rights to purchase any of such securities (“Rights”); and</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170"/>
        <w:gridCol w:w="7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both"/>
              <w:rPr>
                <w:sz w:val="20"/>
              </w:rPr>
            </w:pPr>
            <w:r>
              <w:rPr>
                <w:sz w:val="20"/>
              </w:rPr>
              <w:t>units of debt securities, Common Stock, Preferred Stock, or warrants, in any combination.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material general terms of our Common Stock and Preferred Stock are above.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the date of determining the security holders entitled to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the aggregate number of rights issued and the aggregate amount of securities purchasable upon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sz w:val="20"/>
              </w:rPr>
            </w:pPr>
            <w:r>
              <w:rPr>
                <w:sz w:val="20"/>
              </w:rPr>
              <w:t>the exercise price;</w:t>
            </w:r>
          </w:p>
        </w:tc>
      </w:tr>
    </w:tbl>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the conditions to completion of the rights offering;</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the date on which the right to exercise the rights will commence and the date on which the rights will expire; and</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sz w:val="20"/>
              </w:rPr>
            </w:pPr>
            <w:r>
              <w:rPr>
                <w:sz w:val="20"/>
              </w:rPr>
              <w:t>any applicable federal income tax considerations.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Common Stock or preferred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 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sz w:val="20"/>
              </w:rPr>
            </w:pPr>
            <w:r>
              <w:rPr>
                <w:sz w:val="20"/>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the price or prices at which the warrants will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the designation, amount and terms of the securities or other rights for which the warrants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sz w:val="20"/>
              </w:rPr>
            </w:pPr>
            <w:r>
              <w:rPr>
                <w:sz w:val="20"/>
              </w:rPr>
              <w:t>the aggregate number of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sz w:val="20"/>
              </w:rPr>
            </w:pPr>
            <w:r>
              <w:rPr>
                <w:sz w:val="20"/>
              </w:rPr>
              <w:t>the price or prices at which the securities or other rights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a discussion of any material U.S. federal income tax considerations applicable to the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date on which the right to exercise the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sz w:val="20"/>
              </w:rPr>
            </w:pPr>
            <w:r>
              <w:rPr>
                <w:sz w:val="20"/>
              </w:rPr>
              <w:t>the maximum or minimum number of warrants that may be exercised at any time;</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information with respect to book-entry procedures,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terms of the warrants, including terms, procedures and limitations relating to the exchange and exercise of the warrants.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Common Stock or preferred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Common Stock or preferred shares of the relevant class or series, holders of the warrants will not have any of the rights of holders of Common Stock or preferred shares purchasable upon exercise, including the right to vote or to receive any payments of dividends or payments upon our liquidation, dissolution or winding up on the Common Stock or preferred shares purchasable upon exercise,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we have common stock purchase warrants to purchase up to 200,000 shares of Common Stock outstanding, with an exercise price of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Common Stock or preferred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sz w:val="20"/>
              </w:rPr>
            </w:pPr>
            <w:r>
              <w:rPr>
                <w:sz w:val="20"/>
              </w:rPr>
              <w:t>the title of the series of units;</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sz w:val="20"/>
              </w:rPr>
            </w:pPr>
            <w:r>
              <w:rPr>
                <w:sz w:val="20"/>
              </w:rPr>
              <w:t>identification and description of the separate constituent securities comprising the units;</w:t>
            </w:r>
          </w:p>
        </w:tc>
      </w:tr>
    </w:tbl>
    <w:p>
      <w:pPr>
        <w:pStyle w:val="TextBody"/>
        <w:bidi w:val="0"/>
        <w:spacing w:before="0" w:after="0"/>
        <w:ind w:left="0" w:right="0" w:hanging="0"/>
        <w:jc w:val="center"/>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sz w:val="20"/>
              </w:rPr>
            </w:pPr>
            <w:r>
              <w:rPr>
                <w:sz w:val="20"/>
              </w:rPr>
              <w:t>the price or prices at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date, if any, on and after which the constituent securities comprising the units will be separately transferable,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a discussion of certain United States federal income tax considerations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any other material terms of the units and their constituent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Securities” will apply to each unit and to any Common Stock, preferred shares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unit agreements with a unit agent.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As of the date of this prospectus, we have no outstanding registered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notes under senior or subordinated indentures or, separately, without the use of an indenture. If we issue senior or subordinated notes without the use of an indenture, we will issue such senior or subordinated notes directly to the purchasers of such senior or subordinated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senior notes under a senior indenture, we will enter into such subordinated indenture with the trustee to be named in such senior indenture. If we issue subordinated notes under a subordinated indenture, we will enter into such subordinated indenture with the trustee to be named in such subordinated indenture. We will file as exhibits to the registration statement of which this prospectus is a part, or will incorporate by reference from another report that we file with the SEC, the form of such notes and indentures, if any, that describes the terms of the particular note we may offer under this prospectus, and any supplement agreements, before the issuance of the related note. We use the term “indentures” to refer to both the senior indenture and the 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References to the Trust Indenture Act of 1939 include all amendments thereto. We use the term “debenture trustee” to refer to either the senior trustee or the subordinated trustee,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notes, the subordinated notes and the indentures are subject to, and qualified in their entirety by reference to, all the provisions of the indenture applicable to a particular series of debt securities, and all supplements thereto. We urge you to read the applicable prospectus supplements related to the debt securities that we sell under this prospectus, as well as the complete indentures that contain the terms of the debt securities. Except as we may otherwise indicate, the terms of the senior and the subordinated indentures are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debt securities and any indentures are summaries of these provisions, do not purport to be complete and are subject to, and are qualified in their entirety by reference to, all of the provisions of the debt securities and the indentures (including any amendments or supplements we may enter into from time to time which are permitted under the debt securities or any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In addition, the particular terms of each series of debt securities will be described in a prospectus supplement relating to such series, including any pricing supplement. The prospectus supplement will set forth, among other things:</w:t>
      </w:r>
    </w:p>
    <w:p>
      <w:pPr>
        <w:pStyle w:val="TextBody"/>
        <w:bidi w:val="0"/>
        <w:spacing w:before="0" w:after="0"/>
        <w:ind w:left="0" w:right="0" w:firstLine="720"/>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38"/>
        <w:gridCol w:w="170"/>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sz w:val="20"/>
              </w:rPr>
            </w:pPr>
            <w:r>
              <w:rPr>
                <w:sz w:val="20"/>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sz w:val="20"/>
              </w:rPr>
            </w:pPr>
            <w:r>
              <w:rPr>
                <w:sz w:val="20"/>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sz w:val="20"/>
              </w:rPr>
            </w:pPr>
            <w:r>
              <w:rPr>
                <w:sz w:val="20"/>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sz w:val="20"/>
              </w:rPr>
            </w:pPr>
            <w:r>
              <w:rPr>
                <w:sz w:val="20"/>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sz w:val="20"/>
              </w:rPr>
            </w:pPr>
            <w:r>
              <w:rPr>
                <w:sz w:val="20"/>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whether and under what circumstances, if any, we will pay additional amounts on any debt securities held by a person who is not a U.S. person for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sz w:val="20"/>
              </w:rPr>
            </w:pPr>
            <w:r>
              <w:rPr>
                <w:sz w:val="20"/>
              </w:rPr>
              <w:t>the terms of the subordination of any series of subordinated debt,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our right, if any, to defer payment of interest and the maximum length of any such deferral period;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sz w:val="20"/>
              </w:rPr>
            </w:pPr>
            <w:r>
              <w:rPr>
                <w:sz w:val="20"/>
              </w:rPr>
              <w:t>whether the indenture will restrict our ability and/or the ability of our subsidiaries to, among other things:</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sz w:val="20"/>
              </w:rPr>
            </w:pPr>
            <w:r>
              <w:rPr>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sz w:val="20"/>
              </w:rPr>
            </w:pPr>
            <w:r>
              <w:rPr>
                <w:sz w:val="20"/>
              </w:rPr>
              <w:t>issue additional securities;</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both"/>
              <w:rPr>
                <w:sz w:val="20"/>
              </w:rPr>
            </w:pPr>
            <w:r>
              <w:rPr>
                <w:sz w:val="20"/>
              </w:rPr>
              <w:t>create liens;</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pay dividends and make distributions in respect of our capital stock and the capital stock of our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sz w:val="20"/>
              </w:rPr>
            </w:pPr>
            <w:r>
              <w:rPr>
                <w:sz w:val="20"/>
              </w:rPr>
              <w:t>redeem capital stock;</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place restrictions on our subsidiaries’ ability to pay dividends, make distributions or transfer assets;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both"/>
              <w:rPr>
                <w:sz w:val="20"/>
              </w:rPr>
            </w:pPr>
            <w:r>
              <w:rPr>
                <w:sz w:val="20"/>
              </w:rPr>
              <w:t>make investments or other restricted payments;</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sz w:val="20"/>
              </w:rPr>
            </w:pPr>
            <w:r>
              <w:rPr>
                <w:sz w:val="20"/>
              </w:rPr>
              <w:t>sell or otherwise dispose of assets;</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sz w:val="20"/>
              </w:rPr>
            </w:pPr>
            <w:r>
              <w:rPr>
                <w:sz w:val="20"/>
              </w:rPr>
              <w:t>enter into sale-leaseback transactions;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engage in transactions with stockholders and affiliates;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issue or sell stock of our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effect a consolidation or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debt securities are to be offered at a price such that they will be deemed to be offered at an “original issue discount” as defined in paragraph (a) of Section 1273 of the Internal Revenue Code;</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sz w:val="20"/>
              </w:rPr>
            </w:pPr>
            <w:r>
              <w:rPr>
                <w:sz w:val="20"/>
              </w:rPr>
              <w:t>if other than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or Exchange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preferred shares,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Consolidation, Merger 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the acquirer of such assets must assume all of our obligations under the indentures and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for our other securities,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in the forms initially filed as exhibits to the registration statement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interest when due and payable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the principal, sinking fund payment or premium, if any, when due and payable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sz w:val="20"/>
              </w:rPr>
            </w:pPr>
            <w:r>
              <w:rPr>
                <w:sz w:val="20"/>
              </w:rPr>
              <w:t>if specified events of bankruptcy, insolvency or reorganization occur.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debenture trustee or any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subject to its duties under the Trust Indenture Act of 1939, the debenture trustee need not take any action that might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the holder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holders of at least 25%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debenture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debenture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Indenture;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debenture trustee may change an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to fix any ambiguity, defect or inconsistency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to comply with the provisions described above under “Consolidation, Merger or Sale”;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comply with any requirements of the SEC in connection with the qualification of any indenture under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sz w:val="20"/>
              </w:rPr>
            </w:pPr>
            <w:r>
              <w:rPr>
                <w:sz w:val="20"/>
              </w:rPr>
              <w:t>to evidence and provide for the acceptance of appointment by a successor trustee;</w:t>
            </w:r>
          </w:p>
        </w:tc>
      </w:tr>
    </w:tbl>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to provide for uncertificated debt securities and to make all appropriate changes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delete from, or revise the conditions, limitations and restrictions on the authorized amount, terms or purposes of issuance, authorization and delivery of debt securities or any series,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to change anything that does not materially adversely affect the interests of any holder of debt securities of any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we and the debenture trustee may only make the following changes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sz w:val="20"/>
              </w:rPr>
            </w:pPr>
            <w:r>
              <w:rPr>
                <w:sz w:val="20"/>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principal amount, reducing the rate of or extending the time of payment of interest, or reducing any premium payable upon the redemption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that the following obligations, among others survive until the maturity date or the redemption date:</w:t>
      </w:r>
    </w:p>
    <w:p>
      <w:pPr>
        <w:pStyle w:val="TextBody"/>
        <w:bidi w:val="0"/>
        <w:spacing w:before="0" w:after="0"/>
        <w:ind w:left="0" w:right="0" w:firstLine="72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sz w:val="20"/>
              </w:rPr>
            </w:pPr>
            <w:r>
              <w:rPr>
                <w:sz w:val="20"/>
              </w:rPr>
              <w:t>register the transfer or exchange of debt securities of the series;</w:t>
            </w:r>
          </w:p>
        </w:tc>
      </w:tr>
    </w:tbl>
    <w:p>
      <w:pPr>
        <w:pStyle w:val="TextBody"/>
        <w:bidi w:val="0"/>
        <w:spacing w:before="0" w:after="0"/>
        <w:ind w:left="0" w:right="0" w:hanging="0"/>
        <w:jc w:val="center"/>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sz w:val="20"/>
              </w:rPr>
            </w:pPr>
            <w:r>
              <w:rPr>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sz w:val="20"/>
              </w:rPr>
            </w:pPr>
            <w:r>
              <w:rPr>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sz w:val="20"/>
              </w:rPr>
            </w:pPr>
            <w:r>
              <w:rPr>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sz w:val="20"/>
              </w:rPr>
            </w:pPr>
            <w:r>
              <w:rPr>
                <w:sz w:val="20"/>
              </w:rPr>
              <w:t>appoint any successor trustee; and the following obligations survive the maturity date or 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sz w:val="20"/>
              </w:rPr>
            </w:pPr>
            <w:r>
              <w:rPr>
                <w:sz w:val="20"/>
              </w:rPr>
              <w:t>recover excess money held by the debenture trustee;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sz w:val="20"/>
              </w:rPr>
            </w:pPr>
            <w:r>
              <w:rPr>
                <w:sz w:val="20"/>
              </w:rPr>
              <w:t>compensate and indemnify the debenture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set forth in the indentures, in order to exercise our rights to be discharged, we must either deliver for cancellation all securities of a series to the debenture trustee or must deposit with the debenture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Exchange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New York, New York, known as DTC,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a board resolution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Concerning the Debenture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board resolution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of 1939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Subordination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that we may incur, including senior indebtedness or subordinated indebtedness, and do not limit us from issuing any other debt, including secured debt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our Certificate of Incorporation and our Bylaws may have the effect of delaying, deferring or discouraging another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permit the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sz w:val="20"/>
              </w:rPr>
            </w:pPr>
            <w:r>
              <w:rPr>
                <w:sz w:val="20"/>
              </w:rPr>
              <w:t>provide that the authorized number of directors may be changed only by resolution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provide that the Board is classified into three classes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require that any action to be taken by the Company’s stockholders must be effected at a duly called annual or special meeting of stockholders and not be taken by written consent or electronic transmission;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special meetings of the Company’s stockholders may be called only by the Board, the chairperson of the Board, the Company’s Chief Executive Officer or upon the written request by a majority of the shareholders entitled to vote;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the Company’s stockholders may be called only by the Board, the Chairman of the Board, the Chief Executive Officer of the Company, or upon the written request by a majority of the shareholders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stockholder who owns 15% or more of the Company’s outstanding voting stock (otherwise known as an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an affiliate of an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 associate of an interested stockholder, for three years following the date that the stockholder became an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the Company’s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Board approves the transaction that made the stockholder an “interested stockholder,” prior to the date of the transaction;</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firstLine="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for any transaction from which the director derives an improper personal benefit;</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sz w:val="20"/>
              </w:rPr>
            </w:pPr>
            <w:r>
              <w:rPr>
                <w:sz w:val="20"/>
              </w:rPr>
              <w:t>for 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for any unlawful payment of dividends or redemption of shares; or</w:t>
            </w:r>
          </w:p>
        </w:tc>
      </w:tr>
    </w:tbl>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for any breach of a director’s duty of loyalty to the corporation or its stockholders.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10004-1571</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212.845.3299</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www.continentalstock.com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8"/>
      <w:bookmarkEnd w:id="22"/>
      <w:r>
        <w:rPr>
          <w:rFonts w:ascii="Times New Roman;Times;Serif" w:hAnsi="Times New Roman;Times;Serif"/>
          <w:b/>
          <w:i w:val="false"/>
          <w:caps w:val="false"/>
          <w:smallCaps w:val="false"/>
          <w:sz w:val="20"/>
        </w:rPr>
        <w:t>PLAN OF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up to $75,000,000 of common stock, preferred stock, warrants, subscription rights, debt securities and/or units consisting of some or all of these securities in one or more underwritten public offerings, at-the-market offerings, negotiated transactions, block trades, best efforts or a combination of these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through underwriters or dealers, “at-the-market” to or through a market maker into an existing trading market or otherwise directly to one or more purchasers or through agents or through a combination of methods of sale.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hanging="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names of any underwriters or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 or names of any managing underwriter or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purchase price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bl>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the net proceeds from the sale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delayed delivery arrangements;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offering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discounts or concessions allowed or reallowed or paid to 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commissions paid to agents;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common stock,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9"/>
      <w:bookmarkEnd w:id="2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and any supplement thereto, will be passed upon for us by Hunter Taubman Fischer &amp; Li LLC, New York, NY. The legality of the securities for any underwriters, dealers or agents will be passed upon by counsel as may be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0"/>
      <w:bookmarkEnd w:id="24"/>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Niki BioSolutions, Inc. (formerly known as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included in reliance on the report (which contains an explanatory paragraph relating to the Company’s ability to continue as a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as described in Note 2 to the financial statements) of Marcum Asia CPAs LLP, an independent registered public accounting firm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DiamiR Biosciences Corp. as of May 31, 2026 and 2025, and the related consolidated statements of operations, stockholders’ deficit and cash flows for each of the two years in the period ended May 31, 2026, incorporated by reference in this 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1"/>
      <w:bookmarkEnd w:id="25"/>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special reports, along with other information with the SEC. Our SEC filings are available to the public over the Internet at the SEC’s website at http://www.sec.gov; you can also find our filings on our company website: nikibio.com and nikibiosolutions.com. You may also read and copy any document we file at the SEC’s Public Reference Room at 100 F Street, NE, Washington, D.C. 20549. Please call the SEC at 1-800-SEC-0330 for further information on the Public Reference Room. The information on our website is not intended to form a part of or be incorporated by reference into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to register the securities offered hereby under the Securities Act of 1933, as amended. This prospectus does not contain all of the information included in the registration statement, including certain exhibits and schedules. You may obtain the registration statement and exhibits to the registration statement from the SEC at the address listed above or from the SEC’s internet site.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2"/>
      <w:bookmarkEnd w:id="26"/>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under certain conditions, which means that we can disclose important information to you by referring you to those documents. The information incorporated by reference is considered to be a part of this prospectus and any information that we file subsequent to this prospectus with the SEC will automatically update and supersede this information. The documents we are incorporating by reference are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8-K or 8-K/A filed on </w:t>
            </w:r>
            <w:hyperlink r:id="rId9">
              <w:r>
                <w:rPr>
                  <w:rStyle w:val="InternetLink"/>
                  <w:rFonts w:ascii="Times New Roman;Times;Serif" w:hAnsi="Times New Roman;Times;Serif"/>
                  <w:sz w:val="20"/>
                </w:rPr>
                <w:t>July 20,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August 21,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August 21, 2026</w:t>
              </w:r>
            </w:hyperlink>
            <w:r>
              <w:rPr>
                <w:rFonts w:ascii="Times New Roman;Times;Serif" w:hAnsi="Times New Roman;Times;Serif"/>
                <w:sz w:val="20"/>
              </w:rPr>
              <w:t xml:space="preserve"> and </w:t>
            </w:r>
            <w:hyperlink r:id="rId12">
              <w:r>
                <w:rPr>
                  <w:rStyle w:val="InternetLink"/>
                  <w:rFonts w:ascii="Times New Roman;Times;Serif" w:hAnsi="Times New Roman;Times;Serif"/>
                  <w:sz w:val="20"/>
                </w:rPr>
                <w:t>September 4, 2026</w:t>
              </w:r>
            </w:hyperlink>
            <w:r>
              <w:rPr>
                <w:rFonts w:ascii="Times New Roman;Times;Serif" w:hAnsi="Times New Roman;Times;Serif"/>
                <w:sz w:val="20"/>
              </w:rPr>
              <w:t xml:space="preserve"> (except for the portions of such reports deemed to be furnished and not filed); 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the documents referred to above that are incorporated by reference in this prospectus were filed prior to the 1-for-10 reverse split of our common stock that was effective on July 20, 2026, and do not reflect the effects of such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any person, including any beneficial owner, to whom this prospectus is delivered, a copy of any or all of the information that has been incorporated by reference in this prospectus but not delivered with this prospectus (excluding exhibits, unless the exhibits are specifically incorporated), at no cost to the requesting party, upon request to us in writing or by telephone using the following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609-951-2222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Commission Position on 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4"/>
      <w:bookmarkEnd w:id="27"/>
      <w:r>
        <w:rPr>
          <w:rFonts w:ascii="Times New Roman;Times;Serif" w:hAnsi="Times New Roman;Times;Serif"/>
          <w:b/>
          <w:i w:val="false"/>
          <w:caps w:val="false"/>
          <w:smallCaps w:val="false"/>
          <w:sz w:val="20"/>
        </w:rPr>
        <w:t xml:space="preserve">INDEX TO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APTORUM’S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 xml:space="preserve">Report of Independent Registered Public Accounting Firm (PCAOB ID: 5395)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F-2</w:t>
            </w:r>
          </w:p>
        </w:tc>
      </w:tr>
      <w:tr>
        <w:trPr/>
        <w:tc>
          <w:tcPr>
            <w:tcW w:w="9690"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 xml:space="preserve">Consolidated Balance Sheets as of December 31, 2025 and 2024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F-3</w:t>
            </w:r>
          </w:p>
        </w:tc>
      </w:tr>
      <w:tr>
        <w:trPr/>
        <w:tc>
          <w:tcPr>
            <w:tcW w:w="9690"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 xml:space="preserve">Consolidated Statements of Operations and Comprehensive Loss for the years ended December 31, 2025, 2024 and 2023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F-4</w:t>
            </w:r>
          </w:p>
        </w:tc>
      </w:tr>
      <w:tr>
        <w:trPr/>
        <w:tc>
          <w:tcPr>
            <w:tcW w:w="9690"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 xml:space="preserve">Consolidated Statements of Changes of Equity for the years ended December 31, 2025, 2024 and 2023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F-5</w:t>
            </w:r>
          </w:p>
        </w:tc>
      </w:tr>
      <w:tr>
        <w:trPr/>
        <w:tc>
          <w:tcPr>
            <w:tcW w:w="9690"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 xml:space="preserve">Consolidated Statements of Cash Flows for the years ended December 31, 2025, 2024 and 2023 </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F-6</w:t>
            </w:r>
          </w:p>
        </w:tc>
      </w:tr>
      <w:tr>
        <w:trPr/>
        <w:tc>
          <w:tcPr>
            <w:tcW w:w="9690"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 xml:space="preserve">Notes to Consolidated Financial Statements </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01"/>
      <w:bookmarkEnd w:id="28"/>
      <w:r>
        <w:rPr>
          <w:rFonts w:ascii="Times New Roman;Times;Serif" w:hAnsi="Times New Roman;Times;Serif"/>
          <w:b/>
          <w:i w:val="false"/>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 Aptorum Group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Paragraph — Going Concern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Audit Matters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br/>
        <w:t>March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2"/>
      <w:bookmarkEnd w:id="29"/>
      <w:r>
        <w:rPr>
          <w:rFonts w:ascii="Times New Roman;Times;Serif" w:hAnsi="Times New Roman;Times;Serif"/>
          <w:b/>
          <w:i w:val="false"/>
          <w:caps w:val="false"/>
          <w:smallCaps w:val="false"/>
          <w:sz w:val="20"/>
        </w:rPr>
        <w:t>APTORUM GROUP LIMITED</w:t>
        <w:br/>
        <w:t xml:space="preserve">CONSOLIDATED BALANCE SHEETS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 and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82"/>
        <w:gridCol w:w="60"/>
        <w:gridCol w:w="144"/>
        <w:gridCol w:w="1216"/>
        <w:gridCol w:w="95"/>
        <w:gridCol w:w="60"/>
        <w:gridCol w:w="144"/>
        <w:gridCol w:w="1216"/>
        <w:gridCol w:w="88"/>
      </w:tblGrid>
      <w:tr>
        <w:trPr/>
        <w:tc>
          <w:tcPr>
            <w:tcW w:w="71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88"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r>
      <w:tr>
        <w:trPr/>
        <w:tc>
          <w:tcPr>
            <w:tcW w:w="7182"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3,452,891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874,238</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Other receivables and prepayments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139,633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85,316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3,592,524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959,554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Long-term investments,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15,098,846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15,098,846</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71,823</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18,691,370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16,130,223</w:t>
            </w:r>
          </w:p>
        </w:tc>
        <w:tc>
          <w:tcPr>
            <w:tcW w:w="88" w:type="dxa"/>
            <w:tcBorders/>
            <w:shd w:fill="FFFFFF" w:val="clear"/>
            <w:vAlign w:val="center"/>
          </w:tcPr>
          <w:p>
            <w:pPr>
              <w:pStyle w:val="TableContents"/>
              <w:bidi w:val="0"/>
              <w:spacing w:before="0" w:after="283"/>
              <w:jc w:val="left"/>
              <w:rPr/>
            </w:pPr>
            <w:r>
              <w:rPr/>
              <w:t> </w:t>
            </w:r>
          </w:p>
        </w:tc>
      </w:tr>
      <w:tr>
        <w:trPr/>
        <w:tc>
          <w:tcPr>
            <w:tcW w:w="7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LIABILITIES AND EQUITY</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71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6" w:type="dxa"/>
            <w:tcBorders/>
            <w:shd w:fill="FFFFFF" w:val="clear"/>
            <w:vAlign w:val="center"/>
          </w:tcPr>
          <w:p>
            <w:pPr>
              <w:pStyle w:val="TableContents"/>
              <w:bidi w:val="0"/>
              <w:spacing w:before="0" w:after="283"/>
              <w:jc w:val="right"/>
              <w:rPr/>
            </w:pPr>
            <w:r>
              <w:rPr/>
              <w:t>79,180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w:t>
            </w:r>
          </w:p>
        </w:tc>
        <w:tc>
          <w:tcPr>
            <w:tcW w:w="1216" w:type="dxa"/>
            <w:tcBorders/>
            <w:shd w:fill="FFFFFF" w:val="clear"/>
            <w:vAlign w:val="center"/>
          </w:tcPr>
          <w:p>
            <w:pPr>
              <w:pStyle w:val="TableContents"/>
              <w:bidi w:val="0"/>
              <w:spacing w:before="0" w:after="283"/>
              <w:jc w:val="right"/>
              <w:rPr/>
            </w:pPr>
            <w:r>
              <w:rPr/>
              <w:t>79,644</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1,071,715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918,611</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24,428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102,225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Convertible notes to a related party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3,418,500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3,238,500</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4,593,823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4,338,980</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14,182</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Warrant liability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306,000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double" w:sz="10" w:space="0" w:color="000000"/>
            </w:tcBorders>
            <w:shd w:fill="CCEEFF" w:val="clear"/>
            <w:tcMar>
              <w:bottom w:w="28" w:type="dxa"/>
            </w:tcMar>
            <w:vAlign w:val="center"/>
          </w:tcPr>
          <w:p>
            <w:pPr>
              <w:pStyle w:val="TableContents"/>
              <w:bidi w:val="0"/>
              <w:spacing w:before="0" w:after="283"/>
              <w:jc w:val="right"/>
              <w:rPr/>
            </w:pPr>
            <w:r>
              <w:rPr/>
              <w:t>4,899,823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double" w:sz="10" w:space="0" w:color="000000"/>
            </w:tcBorders>
            <w:shd w:fill="CCEEFF" w:val="clear"/>
            <w:tcMar>
              <w:bottom w:w="28" w:type="dxa"/>
            </w:tcMar>
            <w:vAlign w:val="center"/>
          </w:tcPr>
          <w:p>
            <w:pPr>
              <w:pStyle w:val="TableContents"/>
              <w:bidi w:val="0"/>
              <w:spacing w:before="0" w:after="283"/>
              <w:jc w:val="right"/>
              <w:rPr/>
            </w:pPr>
            <w:r>
              <w:rPr/>
              <w:t>4,353,162</w:t>
            </w:r>
          </w:p>
        </w:tc>
        <w:tc>
          <w:tcPr>
            <w:tcW w:w="88" w:type="dxa"/>
            <w:tcBorders/>
            <w:shd w:fill="CCEEFF"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Commitments and contingencies (Note 21)</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TEMPORARY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Contingently redeemable warrants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47,000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Total temporary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w:t>
            </w:r>
          </w:p>
        </w:tc>
        <w:tc>
          <w:tcPr>
            <w:tcW w:w="88" w:type="dxa"/>
            <w:tcBorders/>
            <w:shd w:fill="CCEEFF" w:val="clear"/>
            <w:vAlign w:val="center"/>
          </w:tcPr>
          <w:p>
            <w:pPr>
              <w:pStyle w:val="TableContents"/>
              <w:bidi w:val="0"/>
              <w:spacing w:before="0" w:after="283"/>
              <w:jc w:val="left"/>
              <w:rPr/>
            </w:pPr>
            <w:r>
              <w:rPr/>
              <w:t> </w:t>
            </w:r>
          </w:p>
        </w:tc>
      </w:tr>
      <w:tr>
        <w:trPr/>
        <w:tc>
          <w:tcPr>
            <w:tcW w:w="71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Class A Ordinary Shares ($0.00001 par value, 9,999,996,000,000 shares authorized, 6,346,823 shares issued and outstanding as of December 31, 2025; 3,811,823 shares issued and outstanding as of December 31, 2024)</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37</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 xml:space="preserve">Class B Ordinary Shares ($0.00001 par value; 4,000,000 shares authorized, 1,796,934 shares issued and outstanding as of December 31, 2025 </w:t>
              <w:br/>
              <w:t>and 2024)</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18</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97,000,188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93,474,825</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182" w:type="dxa"/>
            <w:tcBorders/>
            <w:shd w:fill="CCEEFF" w:val="clear"/>
            <w:vAlign w:val="center"/>
          </w:tcPr>
          <w:p>
            <w:pPr>
              <w:pStyle w:val="TableContents"/>
              <w:bidi w:val="0"/>
              <w:spacing w:before="0" w:after="283"/>
              <w:jc w:val="left"/>
              <w:rPr/>
            </w:pPr>
            <w:r>
              <w:rPr/>
              <w:t>Accumulated other comprehensive (loss) income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(92,310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89,162</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(73,792,798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(72,429,528</w:t>
            </w:r>
          </w:p>
        </w:tc>
        <w:tc>
          <w:tcPr>
            <w:tcW w:w="88" w:type="dxa"/>
            <w:tcBorders/>
            <w:shd w:fill="FFFFFF" w:val="clear"/>
            <w:vAlign w:val="center"/>
          </w:tcPr>
          <w:p>
            <w:pPr>
              <w:pStyle w:val="TableContents"/>
              <w:bidi w:val="0"/>
              <w:spacing w:before="0" w:after="283"/>
              <w:ind w:left="0" w:right="0" w:hanging="200"/>
              <w:jc w:val="left"/>
              <w:rPr/>
            </w:pPr>
            <w:r>
              <w:rPr/>
              <w:t>)</w:t>
            </w:r>
          </w:p>
        </w:tc>
      </w:tr>
      <w:tr>
        <w:trPr/>
        <w:tc>
          <w:tcPr>
            <w:tcW w:w="7182" w:type="dxa"/>
            <w:tcBorders/>
            <w:shd w:fill="CCEEFF" w:val="clear"/>
            <w:vAlign w:val="center"/>
          </w:tcPr>
          <w:p>
            <w:pPr>
              <w:pStyle w:val="TableContents"/>
              <w:bidi w:val="0"/>
              <w:spacing w:before="0" w:after="283"/>
              <w:jc w:val="left"/>
              <w:rPr>
                <w:b/>
              </w:rPr>
            </w:pPr>
            <w:r>
              <w:rPr>
                <w:b/>
              </w:rPr>
              <w:t>Total equity attributable to the shareholders of Aptorum Group Limited</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23,115,160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21,134,514</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(9,370,613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FFFFFF" w:val="clear"/>
            <w:tcMar>
              <w:bottom w:w="28" w:type="dxa"/>
            </w:tcMar>
            <w:vAlign w:val="center"/>
          </w:tcPr>
          <w:p>
            <w:pPr>
              <w:pStyle w:val="TableContents"/>
              <w:bidi w:val="0"/>
              <w:spacing w:before="0" w:after="283"/>
              <w:jc w:val="right"/>
              <w:rPr/>
            </w:pPr>
            <w:r>
              <w:rPr/>
              <w:t>(9,357,453</w:t>
            </w:r>
          </w:p>
        </w:tc>
        <w:tc>
          <w:tcPr>
            <w:tcW w:w="88" w:type="dxa"/>
            <w:tcBorders/>
            <w:shd w:fill="FFFFFF" w:val="clear"/>
            <w:vAlign w:val="center"/>
          </w:tcPr>
          <w:p>
            <w:pPr>
              <w:pStyle w:val="TableContents"/>
              <w:bidi w:val="0"/>
              <w:spacing w:before="0" w:after="283"/>
              <w:ind w:left="0" w:right="0" w:hanging="200"/>
              <w:jc w:val="left"/>
              <w:rPr/>
            </w:pPr>
            <w:r>
              <w:rPr/>
              <w:t>)</w:t>
            </w:r>
          </w:p>
        </w:tc>
      </w:tr>
      <w:tr>
        <w:trPr/>
        <w:tc>
          <w:tcPr>
            <w:tcW w:w="7182"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13,744,547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6" w:type="dxa"/>
            <w:tcBorders>
              <w:bottom w:val="single" w:sz="12" w:space="0" w:color="000000"/>
            </w:tcBorders>
            <w:shd w:fill="CCEEFF" w:val="clear"/>
            <w:tcMar>
              <w:bottom w:w="28" w:type="dxa"/>
            </w:tcMar>
            <w:vAlign w:val="center"/>
          </w:tcPr>
          <w:p>
            <w:pPr>
              <w:pStyle w:val="TableContents"/>
              <w:bidi w:val="0"/>
              <w:spacing w:before="0" w:after="283"/>
              <w:jc w:val="right"/>
              <w:rPr/>
            </w:pPr>
            <w:r>
              <w:rPr/>
              <w:t>11,777,061</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182" w:type="dxa"/>
            <w:tcBorders/>
            <w:shd w:fill="FFFFFF" w:val="clear"/>
            <w:vAlign w:val="center"/>
          </w:tcPr>
          <w:p>
            <w:pPr>
              <w:pStyle w:val="TableContents"/>
              <w:bidi w:val="0"/>
              <w:spacing w:before="0" w:after="283"/>
              <w:jc w:val="left"/>
              <w:rPr>
                <w:b/>
              </w:rPr>
            </w:pPr>
            <w:r>
              <w:rPr>
                <w:b/>
              </w:rPr>
              <w:t>Total Liabilities, Temporary Equity and Equity</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18,691,370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16" w:type="dxa"/>
            <w:tcBorders>
              <w:bottom w:val="double" w:sz="10" w:space="0" w:color="000000"/>
            </w:tcBorders>
            <w:shd w:fill="FFFFFF" w:val="clear"/>
            <w:tcMar>
              <w:bottom w:w="28" w:type="dxa"/>
            </w:tcMar>
            <w:vAlign w:val="center"/>
          </w:tcPr>
          <w:p>
            <w:pPr>
              <w:pStyle w:val="TableContents"/>
              <w:bidi w:val="0"/>
              <w:spacing w:before="0" w:after="283"/>
              <w:jc w:val="right"/>
              <w:rPr/>
            </w:pPr>
            <w:r>
              <w:rPr/>
              <w:t>16,130,223</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3"/>
      <w:bookmarkEnd w:id="30"/>
      <w:r>
        <w:rPr>
          <w:rFonts w:ascii="Times New Roman;Times;Serif" w:hAnsi="Times New Roman;Times;Serif"/>
          <w:b/>
          <w:i w:val="false"/>
          <w:caps w:val="false"/>
          <w:smallCaps w:val="false"/>
          <w:sz w:val="20"/>
        </w:rPr>
        <w:t>APTORUM GROUP LIMITED</w:t>
        <w:br/>
        <w:t xml:space="preserve">CONSOLIDATED STATEMENTS OF OPERATIONS AND COMPREHENSIVE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Years Ended December 31, 2025, 2024 and 2023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3"/>
        <w:gridCol w:w="60"/>
        <w:gridCol w:w="168"/>
        <w:gridCol w:w="1280"/>
        <w:gridCol w:w="95"/>
        <w:gridCol w:w="60"/>
        <w:gridCol w:w="168"/>
        <w:gridCol w:w="1280"/>
        <w:gridCol w:w="95"/>
        <w:gridCol w:w="60"/>
        <w:gridCol w:w="66"/>
        <w:gridCol w:w="1306"/>
        <w:gridCol w:w="114"/>
      </w:tblGrid>
      <w:tr>
        <w:trPr/>
        <w:tc>
          <w:tcPr>
            <w:tcW w:w="54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4" w:type="dxa"/>
            <w:tcBorders/>
            <w:vAlign w:val="center"/>
          </w:tcPr>
          <w:p>
            <w:pPr>
              <w:pStyle w:val="TableContents"/>
              <w:bidi w:val="0"/>
              <w:spacing w:before="0" w:after="283"/>
              <w:jc w:val="left"/>
              <w:rPr/>
            </w:pPr>
            <w:r>
              <w:rPr/>
              <w:t> </w:t>
            </w:r>
          </w:p>
        </w:tc>
      </w:tr>
      <w:tr>
        <w:trPr/>
        <w:tc>
          <w:tcPr>
            <w:tcW w:w="5453"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Healthcare services income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431,378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Cost of healthcare services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(420,812</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(352,879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(2,195,161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(5,198,329</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General and administrative fees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(573,059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(669,486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(1,930,637</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Legal and professional fees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(1,062,346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(803,285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(2,538,161</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Other operating income (expenses)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170,756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(272,609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(1,067,690</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(1,817,528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(3,940,541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center"/>
          </w:tcPr>
          <w:p>
            <w:pPr>
              <w:pStyle w:val="TableContents"/>
              <w:bidi w:val="0"/>
              <w:spacing w:before="0" w:after="283"/>
              <w:jc w:val="right"/>
              <w:rPr/>
            </w:pPr>
            <w:r>
              <w:rPr/>
              <w:t>(11,155,629</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Other (expense) income,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Loss on investments in marketable securities, net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(9,266</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Unrealized gain from fair value change of the long-term investments,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6,431,088</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Impairment loss of long-term investment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(77,200</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(95,713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(146,924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(121,145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Issuance cost allocated to warrant liability</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(153,189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690,000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Government subsidies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928,461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123,015</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Sundry income</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564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36,784</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Total other income (expense), net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441,098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(217,196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center"/>
          </w:tcPr>
          <w:p>
            <w:pPr>
              <w:pStyle w:val="TableContents"/>
              <w:bidi w:val="0"/>
              <w:spacing w:before="0" w:after="283"/>
              <w:jc w:val="right"/>
              <w:rPr/>
            </w:pPr>
            <w:r>
              <w:rPr/>
              <w:t>6,383,276</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(4,157,737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(4,340,975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Net income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13,160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(110,069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1,516,328</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Net loss attributable to Aptorum Group Limited</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(4,267,806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(2,824,647</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Net loss per share attributable to Aptorum Group Limited</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Basic and diluted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FFFFFF" w:val="clear"/>
            <w:tcMar>
              <w:bottom w:w="28" w:type="dxa"/>
            </w:tcM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80" w:type="dxa"/>
            <w:tcBorders>
              <w:bottom w:val="double" w:sz="10" w:space="0" w:color="000000"/>
            </w:tcBorders>
            <w:shd w:fill="FFFFFF" w:val="clear"/>
            <w:tcMar>
              <w:bottom w:w="28" w:type="dxa"/>
            </w:tcMar>
            <w:vAlign w:val="center"/>
          </w:tcPr>
          <w:p>
            <w:pPr>
              <w:pStyle w:val="TableContents"/>
              <w:bidi w:val="0"/>
              <w:spacing w:before="0" w:after="283"/>
              <w:jc w:val="right"/>
              <w:rPr/>
            </w:pPr>
            <w:r>
              <w:rPr/>
              <w:t>(0.78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FFFFFF" w:val="clear"/>
            <w:tcMar>
              <w:bottom w:w="28" w:type="dxa"/>
            </w:tcMar>
            <w:vAlign w:val="center"/>
          </w:tcPr>
          <w:p>
            <w:pPr>
              <w:pStyle w:val="TableContents"/>
              <w:bidi w:val="0"/>
              <w:spacing w:before="0" w:after="283"/>
              <w:jc w:val="right"/>
              <w:rPr/>
            </w:pPr>
            <w:r>
              <w:rPr/>
              <w:t>(0.62</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Weighted-average shares outstanding</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pPr>
            <w:r>
              <w:rPr/>
              <w:t xml:space="preserve">– </w:t>
            </w:r>
            <w:r>
              <w:rPr>
                <w:rFonts w:ascii="Times New Roman;Times;Serif" w:hAnsi="Times New Roman;Times;Serif"/>
                <w:sz w:val="20"/>
              </w:rPr>
              <w:t>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5,453,103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4,521,133</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0" w:type="dxa"/>
            <w:tcBorders/>
            <w:shd w:fill="CCEEFF" w:val="clear"/>
            <w:vAlign w:val="center"/>
          </w:tcPr>
          <w:p>
            <w:pPr>
              <w:pStyle w:val="TableContents"/>
              <w:bidi w:val="0"/>
              <w:spacing w:before="0" w:after="283"/>
              <w:jc w:val="right"/>
              <w:rPr/>
            </w:pPr>
            <w:r>
              <w:rPr/>
              <w:t>(4,157,737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(4,340,975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180"/>
              <w:jc w:val="left"/>
              <w:rPr/>
            </w:pPr>
            <w:r>
              <w:rPr/>
              <w:t> </w:t>
            </w:r>
          </w:p>
        </w:tc>
      </w:tr>
      <w:tr>
        <w:trPr/>
        <w:tc>
          <w:tcPr>
            <w:tcW w:w="5453"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(181,472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99,785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(44,430</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pPr>
            <w:r>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(181,472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99,785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CCEEFF" w:val="clear"/>
            <w:tcMar>
              <w:bottom w:w="28" w:type="dxa"/>
            </w:tcMar>
            <w:vAlign w:val="center"/>
          </w:tcPr>
          <w:p>
            <w:pPr>
              <w:pStyle w:val="TableContents"/>
              <w:bidi w:val="0"/>
              <w:spacing w:before="0" w:after="283"/>
              <w:jc w:val="right"/>
              <w:rPr/>
            </w:pPr>
            <w:r>
              <w:rPr/>
              <w:t>(44,430</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180"/>
              <w:jc w:val="left"/>
              <w:rPr/>
            </w:pPr>
            <w:r>
              <w:rPr/>
              <w:t> </w:t>
            </w:r>
          </w:p>
        </w:tc>
      </w:tr>
      <w:tr>
        <w:trPr/>
        <w:tc>
          <w:tcPr>
            <w:tcW w:w="5453" w:type="dxa"/>
            <w:tcBorders/>
            <w:shd w:fill="CCEEFF" w:val="clear"/>
            <w:vAlign w:val="center"/>
          </w:tcPr>
          <w:p>
            <w:pPr>
              <w:pStyle w:val="TableContents"/>
              <w:bidi w:val="0"/>
              <w:spacing w:before="0" w:after="283"/>
              <w:jc w:val="left"/>
              <w:rPr>
                <w:b/>
              </w:rPr>
            </w:pPr>
            <w:r>
              <w:rPr>
                <w:b/>
              </w:rPr>
              <w:t>Comprehensive loss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(1,557,902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(4,057,952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(4,385,405</w:t>
            </w:r>
          </w:p>
        </w:tc>
        <w:tc>
          <w:tcPr>
            <w:tcW w:w="114" w:type="dxa"/>
            <w:tcBorders/>
            <w:shd w:fill="CCEEFF" w:val="clear"/>
            <w:vAlign w:val="center"/>
          </w:tcPr>
          <w:p>
            <w:pPr>
              <w:pStyle w:val="TableContents"/>
              <w:bidi w:val="0"/>
              <w:spacing w:before="0" w:after="283"/>
              <w:ind w:left="0" w:right="0" w:hanging="180"/>
              <w:jc w:val="left"/>
              <w:rPr/>
            </w:pPr>
            <w:r>
              <w:rPr/>
              <w:t>)</w:t>
            </w:r>
          </w:p>
        </w:tc>
      </w:tr>
      <w:tr>
        <w:trPr/>
        <w:tc>
          <w:tcPr>
            <w:tcW w:w="5453" w:type="dxa"/>
            <w:tcBorders/>
            <w:shd w:fill="FFFFFF" w:val="clear"/>
            <w:vAlign w:val="center"/>
          </w:tcPr>
          <w:p>
            <w:pPr>
              <w:pStyle w:val="TableContents"/>
              <w:bidi w:val="0"/>
              <w:spacing w:before="0" w:after="283"/>
              <w:jc w:val="left"/>
              <w:rPr/>
            </w:pPr>
            <w:r>
              <w:rPr/>
              <w:t>Comprehensive (loss) income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(13,160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110,069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12" w:space="0" w:color="000000"/>
            </w:tcBorders>
            <w:shd w:fill="FFFFFF" w:val="clear"/>
            <w:tcMar>
              <w:bottom w:w="28" w:type="dxa"/>
            </w:tcMar>
            <w:vAlign w:val="center"/>
          </w:tcPr>
          <w:p>
            <w:pPr>
              <w:pStyle w:val="TableContents"/>
              <w:bidi w:val="0"/>
              <w:spacing w:before="0" w:after="283"/>
              <w:jc w:val="right"/>
              <w:rPr/>
            </w:pPr>
            <w:r>
              <w:rPr/>
              <w:t>(1,516,328</w:t>
            </w:r>
          </w:p>
        </w:tc>
        <w:tc>
          <w:tcPr>
            <w:tcW w:w="114" w:type="dxa"/>
            <w:tcBorders/>
            <w:shd w:fill="FFFFFF" w:val="clear"/>
            <w:vAlign w:val="center"/>
          </w:tcPr>
          <w:p>
            <w:pPr>
              <w:pStyle w:val="TableContents"/>
              <w:bidi w:val="0"/>
              <w:spacing w:before="0" w:after="283"/>
              <w:ind w:left="0" w:right="0" w:hanging="180"/>
              <w:jc w:val="left"/>
              <w:rPr/>
            </w:pPr>
            <w:r>
              <w:rPr/>
              <w:t>)</w:t>
            </w:r>
          </w:p>
        </w:tc>
      </w:tr>
      <w:tr>
        <w:trPr/>
        <w:tc>
          <w:tcPr>
            <w:tcW w:w="5453" w:type="dxa"/>
            <w:tcBorders/>
            <w:shd w:fill="CCEEFF" w:val="clear"/>
            <w:vAlign w:val="center"/>
          </w:tcPr>
          <w:p>
            <w:pPr>
              <w:pStyle w:val="TableContents"/>
              <w:bidi w:val="0"/>
              <w:spacing w:before="0" w:after="283"/>
              <w:jc w:val="left"/>
              <w:rPr>
                <w:b/>
              </w:rPr>
            </w:pPr>
            <w:r>
              <w:rPr>
                <w:b/>
              </w:rPr>
              <w:t>Comprehensive loss attributable to the shareholders of Aptorum Group Limited</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(1,544,742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(4,168,021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double" w:sz="10" w:space="0" w:color="000000"/>
            </w:tcBorders>
            <w:shd w:fill="CCEEFF" w:val="clear"/>
            <w:tcMar>
              <w:bottom w:w="28" w:type="dxa"/>
            </w:tcMar>
            <w:vAlign w:val="center"/>
          </w:tcPr>
          <w:p>
            <w:pPr>
              <w:pStyle w:val="TableContents"/>
              <w:bidi w:val="0"/>
              <w:spacing w:before="0" w:after="283"/>
              <w:jc w:val="right"/>
              <w:rPr/>
            </w:pPr>
            <w:r>
              <w:rPr/>
              <w:t>(2,869,077</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283"/>
              <w:jc w:val="both"/>
              <w:rPr/>
            </w:pPr>
            <w:r>
              <w:rPr/>
              <w:t>All per share amounts and shares outstanding for all periods have been retroactively restated to reflect APTORUM GROUP LIMITED’s 1 for 10 reverse stock split, which was effective on January 23,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_004"/>
      <w:bookmarkEnd w:id="31"/>
      <w:r>
        <w:rPr>
          <w:rFonts w:ascii="Times New Roman;Times;Serif" w:hAnsi="Times New Roman;Times;Serif"/>
          <w:b/>
          <w:i w:val="false"/>
          <w:caps w:val="false"/>
          <w:smallCaps w:val="false"/>
          <w:sz w:val="20"/>
        </w:rPr>
        <w:t>APTORUM GROUP LIMITED</w:t>
        <w:br/>
        <w:t>CONSOLIDATED STATEMENTS OF CHANGES IN EQUITY</w:t>
        <w:br/>
        <w:t xml:space="preserve">For Years Ended December 31, 2025, 2024 and 2023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(Stated in U.S. Dollars, except for number of shares)</w:t>
      </w:r>
    </w:p>
    <w:p>
      <w:pPr>
        <w:pStyle w:val="TextBody"/>
        <w:bidi w:val="0"/>
        <w:spacing w:before="0" w:after="0"/>
        <w:ind w:left="0" w:right="0" w:hanging="0"/>
        <w:jc w:val="center"/>
        <w:rPr>
          <w:caps w:val="false"/>
          <w:smallCaps w:val="false"/>
        </w:rPr>
      </w:pPr>
      <w:r>
        <w:rPr>
          <w:caps w:val="false"/>
          <w:smallCaps w:val="false"/>
        </w:rPr>
        <w:t> </w:t>
      </w:r>
    </w:p>
    <w:tbl>
      <w:tblPr>
        <w:tblW w:w="11015" w:type="dxa"/>
        <w:jc w:val="left"/>
        <w:tblInd w:w="0" w:type="dxa"/>
        <w:tblLayout w:type="fixed"/>
        <w:tblCellMar>
          <w:top w:w="0" w:type="dxa"/>
          <w:left w:w="0" w:type="dxa"/>
          <w:bottom w:w="0" w:type="dxa"/>
          <w:right w:w="0" w:type="dxa"/>
        </w:tblCellMar>
      </w:tblPr>
      <w:tblGrid>
        <w:gridCol w:w="1130"/>
        <w:gridCol w:w="60"/>
        <w:gridCol w:w="60"/>
        <w:gridCol w:w="740"/>
        <w:gridCol w:w="60"/>
        <w:gridCol w:w="60"/>
        <w:gridCol w:w="110"/>
        <w:gridCol w:w="890"/>
        <w:gridCol w:w="80"/>
        <w:gridCol w:w="60"/>
        <w:gridCol w:w="60"/>
        <w:gridCol w:w="740"/>
        <w:gridCol w:w="80"/>
        <w:gridCol w:w="60"/>
        <w:gridCol w:w="110"/>
        <w:gridCol w:w="890"/>
        <w:gridCol w:w="80"/>
        <w:gridCol w:w="60"/>
        <w:gridCol w:w="110"/>
        <w:gridCol w:w="830"/>
        <w:gridCol w:w="80"/>
        <w:gridCol w:w="60"/>
        <w:gridCol w:w="114"/>
        <w:gridCol w:w="926"/>
        <w:gridCol w:w="80"/>
        <w:gridCol w:w="60"/>
        <w:gridCol w:w="173"/>
        <w:gridCol w:w="1047"/>
        <w:gridCol w:w="80"/>
        <w:gridCol w:w="60"/>
        <w:gridCol w:w="110"/>
        <w:gridCol w:w="800"/>
        <w:gridCol w:w="80"/>
        <w:gridCol w:w="60"/>
        <w:gridCol w:w="110"/>
        <w:gridCol w:w="830"/>
        <w:gridCol w:w="75"/>
      </w:tblGrid>
      <w:tr>
        <w:trPr/>
        <w:tc>
          <w:tcPr>
            <w:tcW w:w="113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92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Class A</w:t>
              <w:br/>
              <w:t>Ordinary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0" w:type="dxa"/>
            <w:gridSpan w:val="6"/>
            <w:tcBorders>
              <w:bottom w:val="single" w:sz="12" w:space="0" w:color="000000"/>
            </w:tcBorders>
            <w:tcMar>
              <w:bottom w:w="28" w:type="dxa"/>
            </w:tcMar>
            <w:vAlign w:val="center"/>
          </w:tcPr>
          <w:p>
            <w:pPr>
              <w:pStyle w:val="TableContents"/>
              <w:bidi w:val="0"/>
              <w:spacing w:before="0" w:after="283"/>
              <w:jc w:val="center"/>
              <w:rPr>
                <w:b/>
                <w:sz w:val="18"/>
              </w:rPr>
            </w:pPr>
            <w:r>
              <w:rPr>
                <w:b/>
                <w:sz w:val="18"/>
              </w:rPr>
              <w:t>Class B</w:t>
              <w:br/>
              <w:t>Ordinary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8"/>
              </w:rPr>
            </w:pPr>
            <w:r>
              <w:rPr>
                <w:b/>
                <w:sz w:val="18"/>
              </w:rPr>
              <w:t xml:space="preserve">Additional </w:t>
              <w:br/>
              <w:t xml:space="preserve">Paid-in </w:t>
              <w:b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sz w:val="18"/>
              </w:rPr>
            </w:pPr>
            <w:r>
              <w:rPr>
                <w:b/>
                <w:sz w:val="18"/>
              </w:rPr>
              <w:t xml:space="preserve">Accumulated </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sz w:val="18"/>
              </w:rPr>
            </w:pPr>
            <w:r>
              <w:rPr>
                <w:b/>
                <w:sz w:val="18"/>
              </w:rPr>
              <w:t xml:space="preserve">Accumulated </w:t>
              <w:br/>
              <w:t xml:space="preserve">Other </w:t>
              <w:br/>
              <w:t xml:space="preserve">Comprehensive </w:t>
              <w:br/>
              <w:t>income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vAlign w:val="center"/>
          </w:tcPr>
          <w:p>
            <w:pPr>
              <w:pStyle w:val="TableContents"/>
              <w:bidi w:val="0"/>
              <w:spacing w:before="0" w:after="283"/>
              <w:jc w:val="center"/>
              <w:rPr>
                <w:b/>
                <w:sz w:val="18"/>
              </w:rPr>
            </w:pPr>
            <w:r>
              <w:rPr>
                <w:b/>
                <w:sz w:val="18"/>
              </w:rPr>
              <w:t>Non-</w:t>
              <w:br/>
              <w:t xml:space="preserve">Controlling </w:t>
              <w:b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sz w:val="18"/>
              </w:rPr>
            </w:pPr>
            <w:r>
              <w:rPr>
                <w:b/>
                <w:sz w:val="18"/>
              </w:rPr>
              <w:t>Total</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Shares</w:t>
            </w:r>
            <w:r>
              <w:rPr>
                <w:b/>
                <w:position w:val="6"/>
                <w:sz w:val="14"/>
                <w:sz w:val="18"/>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Shares</w:t>
            </w:r>
            <w:r>
              <w:rPr>
                <w:b/>
                <w:position w:val="6"/>
                <w:sz w:val="14"/>
                <w:sz w:val="18"/>
              </w:rPr>
              <w:t>(1)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sz w:val="18"/>
              </w:rPr>
            </w:pPr>
            <w:r>
              <w:rPr>
                <w:b/>
                <w:sz w:val="18"/>
              </w:rPr>
              <w:t>Amount</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b/>
                <w:sz w:val="18"/>
              </w:rPr>
            </w:pPr>
            <w:r>
              <w:rPr>
                <w:b/>
                <w:sz w:val="18"/>
              </w:rPr>
              <w:t xml:space="preserve">Balance, January 1 </w:t>
              <w:b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1,326,953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90" w:type="dxa"/>
            <w:tcBorders/>
            <w:shd w:fill="CCEEFF" w:val="clear"/>
            <w:vAlign w:val="center"/>
          </w:tcPr>
          <w:p>
            <w:pPr>
              <w:pStyle w:val="TableContents"/>
              <w:bidi w:val="0"/>
              <w:spacing w:before="0" w:after="283"/>
              <w:jc w:val="right"/>
              <w:rPr>
                <w:b/>
                <w:sz w:val="18"/>
              </w:rPr>
            </w:pPr>
            <w:r>
              <w:rPr>
                <w:b/>
                <w:sz w:val="18"/>
              </w:rPr>
              <w:t>13,269,528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2,243,776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90" w:type="dxa"/>
            <w:tcBorders/>
            <w:shd w:fill="CCEEFF" w:val="clear"/>
            <w:vAlign w:val="center"/>
          </w:tcPr>
          <w:p>
            <w:pPr>
              <w:pStyle w:val="TableContents"/>
              <w:bidi w:val="0"/>
              <w:spacing w:before="0" w:after="283"/>
              <w:jc w:val="right"/>
              <w:rPr>
                <w:b/>
                <w:sz w:val="18"/>
              </w:rPr>
            </w:pPr>
            <w:r>
              <w:rPr>
                <w:b/>
                <w:sz w:val="18"/>
              </w:rPr>
              <w:t>22,437,754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30" w:type="dxa"/>
            <w:tcBorders/>
            <w:shd w:fill="CCEEFF" w:val="clear"/>
            <w:vAlign w:val="center"/>
          </w:tcPr>
          <w:p>
            <w:pPr>
              <w:pStyle w:val="TableContents"/>
              <w:bidi w:val="0"/>
              <w:spacing w:before="0" w:after="283"/>
              <w:jc w:val="right"/>
              <w:rPr>
                <w:b/>
                <w:sz w:val="18"/>
              </w:rPr>
            </w:pPr>
            <w:r>
              <w:rPr>
                <w:b/>
                <w:sz w:val="18"/>
              </w:rPr>
              <w:t>45,308,080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b/>
                <w:sz w:val="18"/>
              </w:rPr>
            </w:pPr>
            <w:r>
              <w:rPr>
                <w:b/>
                <w:sz w:val="18"/>
              </w:rPr>
              <w:t>$</w:t>
            </w:r>
          </w:p>
        </w:tc>
        <w:tc>
          <w:tcPr>
            <w:tcW w:w="926" w:type="dxa"/>
            <w:tcBorders/>
            <w:shd w:fill="CCEEFF" w:val="clear"/>
            <w:vAlign w:val="center"/>
          </w:tcPr>
          <w:p>
            <w:pPr>
              <w:pStyle w:val="TableContents"/>
              <w:bidi w:val="0"/>
              <w:spacing w:before="0" w:after="283"/>
              <w:jc w:val="right"/>
              <w:rPr>
                <w:b/>
                <w:sz w:val="18"/>
              </w:rPr>
            </w:pPr>
            <w:r>
              <w:rPr>
                <w:b/>
                <w:sz w:val="18"/>
              </w:rPr>
              <w:t>(65,337,075</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b/>
                <w:sz w:val="18"/>
              </w:rPr>
            </w:pPr>
            <w:r>
              <w:rPr>
                <w:b/>
                <w:sz w:val="18"/>
              </w:rPr>
              <w:t>$</w:t>
            </w:r>
          </w:p>
        </w:tc>
        <w:tc>
          <w:tcPr>
            <w:tcW w:w="1047" w:type="dxa"/>
            <w:tcBorders/>
            <w:shd w:fill="CCEEFF" w:val="clear"/>
            <w:vAlign w:val="center"/>
          </w:tcPr>
          <w:p>
            <w:pPr>
              <w:pStyle w:val="TableContents"/>
              <w:bidi w:val="0"/>
              <w:spacing w:before="0" w:after="283"/>
              <w:jc w:val="right"/>
              <w:rPr>
                <w:b/>
                <w:sz w:val="18"/>
              </w:rPr>
            </w:pPr>
            <w:r>
              <w:rPr>
                <w:b/>
                <w:sz w:val="18"/>
              </w:rPr>
              <w:t>33,807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00" w:type="dxa"/>
            <w:tcBorders/>
            <w:shd w:fill="CCEEFF" w:val="clear"/>
            <w:vAlign w:val="center"/>
          </w:tcPr>
          <w:p>
            <w:pPr>
              <w:pStyle w:val="TableContents"/>
              <w:bidi w:val="0"/>
              <w:spacing w:before="0" w:after="283"/>
              <w:jc w:val="right"/>
              <w:rPr>
                <w:b/>
                <w:sz w:val="18"/>
              </w:rPr>
            </w:pPr>
            <w:r>
              <w:rPr>
                <w:b/>
                <w:sz w:val="18"/>
              </w:rPr>
              <w:t>(7,878,789</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b/>
                <w:sz w:val="18"/>
              </w:rPr>
            </w:pPr>
            <w:r>
              <w:rPr>
                <w:b/>
                <w:sz w:val="18"/>
              </w:rPr>
              <w:t>$</w:t>
            </w:r>
          </w:p>
        </w:tc>
        <w:tc>
          <w:tcPr>
            <w:tcW w:w="830" w:type="dxa"/>
            <w:tcBorders/>
            <w:shd w:fill="CCEEFF" w:val="clear"/>
            <w:vAlign w:val="center"/>
          </w:tcPr>
          <w:p>
            <w:pPr>
              <w:pStyle w:val="TableContents"/>
              <w:bidi w:val="0"/>
              <w:spacing w:before="0" w:after="283"/>
              <w:jc w:val="right"/>
              <w:rPr>
                <w:b/>
                <w:sz w:val="18"/>
              </w:rPr>
            </w:pPr>
            <w:r>
              <w:rPr>
                <w:b/>
                <w:sz w:val="18"/>
              </w:rPr>
              <w:t>7,833,305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Adjustment for change of 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(13,269,514</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(22,437,732</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35,707,246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Issuance of shares to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67,766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(67,766</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Issuance of shares in exchange of share options and settlement of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70,430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3,078,195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8"/>
              </w:rPr>
            </w:pPr>
            <w:r>
              <w:rPr>
                <w:b/>
                <w:sz w:val="18"/>
              </w:rPr>
              <w:t>3,078,196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Issuance of shares for 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8"/>
              </w:rPr>
            </w:pPr>
            <w:r>
              <w:rPr>
                <w:sz w:val="18"/>
              </w:rPr>
              <w:t>65,770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176,263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176,264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Issuance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215,959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1,575,560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8"/>
              </w:rPr>
            </w:pPr>
            <w:r>
              <w:rPr>
                <w:b/>
                <w:sz w:val="18"/>
              </w:rPr>
              <w:t>1,575,562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1,088,925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1,088,925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Conversion of convertible notes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1,250,000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5,999,987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8"/>
              </w:rPr>
            </w:pPr>
            <w:r>
              <w:rPr>
                <w:b/>
                <w:sz w:val="18"/>
              </w:rPr>
              <w:t>6,000,000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 xml:space="preserve">Exercise of share </w:t>
              <w:br/>
              <w:t>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8"/>
              </w:rPr>
            </w:pPr>
            <w:r>
              <w:rPr>
                <w:sz w:val="18"/>
              </w:rPr>
              <w:t>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16,506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16,506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Rounding up for reverse stock split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8,018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Exchange difference on translation of foreign operation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sz w:val="18"/>
              </w:rPr>
            </w:pPr>
            <w:r>
              <w:rPr>
                <w:sz w:val="18"/>
              </w:rPr>
              <w:t>(44,430</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(44,430</w:t>
            </w:r>
          </w:p>
        </w:tc>
        <w:tc>
          <w:tcPr>
            <w:tcW w:w="75" w:type="dxa"/>
            <w:tcBorders/>
            <w:shd w:fill="CCEEFF" w:val="clear"/>
            <w:vAlign w:val="center"/>
          </w:tcPr>
          <w:p>
            <w:pPr>
              <w:pStyle w:val="TableContents"/>
              <w:bidi w:val="0"/>
              <w:spacing w:before="0" w:after="283"/>
              <w:ind w:left="0" w:right="0" w:hanging="180"/>
              <w:jc w:val="left"/>
              <w:rPr>
                <w:b/>
                <w:sz w:val="18"/>
              </w:rPr>
            </w:pPr>
            <w:r>
              <w:rPr>
                <w:b/>
                <w:sz w:val="18"/>
              </w:rPr>
              <w:t>)</w:t>
            </w:r>
          </w:p>
        </w:tc>
      </w:tr>
      <w:tr>
        <w:trPr/>
        <w:tc>
          <w:tcPr>
            <w:tcW w:w="1130" w:type="dxa"/>
            <w:tcBorders/>
            <w:shd w:fill="FFFFFF" w:val="clear"/>
            <w:vAlign w:val="center"/>
          </w:tcPr>
          <w:p>
            <w:pPr>
              <w:pStyle w:val="TableContents"/>
              <w:bidi w:val="0"/>
              <w:spacing w:before="0" w:after="283"/>
              <w:jc w:val="left"/>
              <w:rPr>
                <w:sz w:val="18"/>
              </w:rPr>
            </w:pPr>
            <w:r>
              <w:rPr>
                <w:sz w:val="18"/>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(2,824,647</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(1,516,328</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b/>
                <w:sz w:val="18"/>
              </w:rPr>
            </w:pPr>
            <w:r>
              <w:rPr>
                <w:b/>
                <w:sz w:val="18"/>
              </w:rPr>
              <w:t>(4,340,975</w:t>
            </w:r>
          </w:p>
        </w:tc>
        <w:tc>
          <w:tcPr>
            <w:tcW w:w="75" w:type="dxa"/>
            <w:tcBorders/>
            <w:shd w:fill="FFFFFF" w:val="clear"/>
            <w:vAlign w:val="center"/>
          </w:tcPr>
          <w:p>
            <w:pPr>
              <w:pStyle w:val="TableContents"/>
              <w:bidi w:val="0"/>
              <w:spacing w:before="0" w:after="283"/>
              <w:ind w:left="0" w:right="0" w:hanging="180"/>
              <w:jc w:val="left"/>
              <w:rPr>
                <w:b/>
                <w:sz w:val="18"/>
              </w:rPr>
            </w:pPr>
            <w:r>
              <w:rPr>
                <w:b/>
                <w:sz w:val="18"/>
              </w:rPr>
              <w:t>)</w:t>
            </w:r>
          </w:p>
        </w:tc>
      </w:tr>
      <w:tr>
        <w:trPr/>
        <w:tc>
          <w:tcPr>
            <w:tcW w:w="1130" w:type="dxa"/>
            <w:tcBorders/>
            <w:shd w:fill="CCEEFF" w:val="clear"/>
            <w:vAlign w:val="center"/>
          </w:tcPr>
          <w:p>
            <w:pPr>
              <w:pStyle w:val="TableContents"/>
              <w:bidi w:val="0"/>
              <w:spacing w:before="0" w:after="283"/>
              <w:jc w:val="left"/>
              <w:rPr>
                <w:b/>
                <w:sz w:val="18"/>
              </w:rPr>
            </w:pPr>
            <w:r>
              <w:rPr>
                <w:b/>
                <w:sz w:val="18"/>
              </w:rPr>
              <w:t>Balance, December 31,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2,937,921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18"/>
              </w:rPr>
            </w:pPr>
            <w:r>
              <w:rPr>
                <w:b/>
                <w:sz w:val="18"/>
              </w:rPr>
              <w:t>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2,243,776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18"/>
              </w:rPr>
            </w:pPr>
            <w:r>
              <w:rPr>
                <w:b/>
                <w:sz w:val="18"/>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93,018,528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b/>
                <w:sz w:val="18"/>
              </w:rPr>
            </w:pPr>
            <w:r>
              <w:rPr>
                <w:b/>
                <w:sz w:val="18"/>
              </w:rPr>
              <w:t>(68,161,722</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b/>
                <w:sz w:val="18"/>
              </w:rPr>
            </w:pPr>
            <w:r>
              <w:rPr>
                <w:b/>
                <w:sz w:val="18"/>
              </w:rPr>
              <w:t>(10,623</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sz w:val="18"/>
              </w:rPr>
            </w:pPr>
            <w:r>
              <w:rPr>
                <w:b/>
                <w:sz w:val="18"/>
              </w:rPr>
              <w:t>(9,462,883</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15,383,353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Conversion of Class B Ordinary Shares to Class A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446,842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(446,842</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(4</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Exercise of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8"/>
              </w:rPr>
            </w:pPr>
            <w:r>
              <w:rPr>
                <w:sz w:val="18"/>
              </w:rPr>
              <w:t>427,060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451,658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451,660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Exchange difference on translation of foreign operation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18"/>
              </w:rPr>
            </w:pPr>
            <w:r>
              <w:rPr>
                <w:sz w:val="18"/>
              </w:rPr>
              <w:t>99,785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8"/>
              </w:rPr>
            </w:pPr>
            <w:r>
              <w:rPr>
                <w:b/>
                <w:sz w:val="18"/>
              </w:rPr>
              <w:t>99,785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Disposal of NCI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4,639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(4,639</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(4,267,806</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110,069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b/>
                <w:sz w:val="18"/>
              </w:rPr>
            </w:pPr>
            <w:r>
              <w:rPr>
                <w:b/>
                <w:sz w:val="18"/>
              </w:rPr>
              <w:t>(4,157,737</w:t>
            </w:r>
          </w:p>
        </w:tc>
        <w:tc>
          <w:tcPr>
            <w:tcW w:w="75" w:type="dxa"/>
            <w:tcBorders/>
            <w:shd w:fill="FFFFFF" w:val="clear"/>
            <w:vAlign w:val="center"/>
          </w:tcPr>
          <w:p>
            <w:pPr>
              <w:pStyle w:val="TableContents"/>
              <w:bidi w:val="0"/>
              <w:spacing w:before="0" w:after="283"/>
              <w:ind w:left="0" w:right="0" w:hanging="180"/>
              <w:jc w:val="left"/>
              <w:rPr>
                <w:b/>
                <w:sz w:val="18"/>
              </w:rPr>
            </w:pPr>
            <w:r>
              <w:rPr>
                <w:b/>
                <w:sz w:val="18"/>
              </w:rPr>
              <w:t>)</w:t>
            </w:r>
          </w:p>
        </w:tc>
      </w:tr>
      <w:tr>
        <w:trPr/>
        <w:tc>
          <w:tcPr>
            <w:tcW w:w="1130" w:type="dxa"/>
            <w:tcBorders/>
            <w:shd w:fill="CCEEFF" w:val="clear"/>
            <w:vAlign w:val="center"/>
          </w:tcPr>
          <w:p>
            <w:pPr>
              <w:pStyle w:val="TableContents"/>
              <w:bidi w:val="0"/>
              <w:spacing w:before="0" w:after="283"/>
              <w:jc w:val="left"/>
              <w:rPr>
                <w:b/>
                <w:sz w:val="18"/>
              </w:rPr>
            </w:pPr>
            <w:r>
              <w:rPr>
                <w:b/>
                <w:sz w:val="18"/>
              </w:rPr>
              <w:t>Balance,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3,811,823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18"/>
              </w:rPr>
            </w:pPr>
            <w:r>
              <w:rPr>
                <w:b/>
                <w:sz w:val="18"/>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8"/>
              </w:rPr>
            </w:pPr>
            <w:r>
              <w:rPr>
                <w:b/>
                <w:sz w:val="18"/>
              </w:rPr>
              <w:t>1,796,934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b/>
                <w:sz w:val="18"/>
              </w:rPr>
            </w:pPr>
            <w:r>
              <w:rPr>
                <w:b/>
                <w:sz w:val="18"/>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93,474,825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b/>
                <w:sz w:val="18"/>
              </w:rPr>
            </w:pPr>
            <w:r>
              <w:rPr>
                <w:b/>
                <w:sz w:val="18"/>
              </w:rPr>
              <w:t>(72,429,528</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b/>
                <w:sz w:val="18"/>
              </w:rPr>
            </w:pPr>
            <w:r>
              <w:rPr>
                <w:b/>
                <w:sz w:val="18"/>
              </w:rPr>
              <w:t>89,162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sz w:val="18"/>
              </w:rPr>
            </w:pPr>
            <w:r>
              <w:rPr>
                <w:b/>
                <w:sz w:val="18"/>
              </w:rPr>
              <w:t>(9,357,453</w:t>
            </w:r>
          </w:p>
        </w:tc>
        <w:tc>
          <w:tcPr>
            <w:tcW w:w="80" w:type="dxa"/>
            <w:tcBorders/>
            <w:shd w:fill="CCEEFF" w:val="clear"/>
            <w:vAlign w:val="center"/>
          </w:tcPr>
          <w:p>
            <w:pPr>
              <w:pStyle w:val="TableContents"/>
              <w:bidi w:val="0"/>
              <w:spacing w:before="0" w:after="283"/>
              <w:jc w:val="left"/>
              <w:rPr>
                <w:b/>
                <w:sz w:val="18"/>
              </w:rPr>
            </w:pPr>
            <w:r>
              <w:rPr>
                <w:b/>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11,777,061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Issuance of Class A Ordinary Shares upon January 2025 Offering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8"/>
              </w:rPr>
            </w:pPr>
            <w:r>
              <w:rPr>
                <w:sz w:val="18"/>
              </w:rPr>
              <w:t>1,535,000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sz w:val="18"/>
              </w:rPr>
            </w:pPr>
            <w:r>
              <w:rPr>
                <w:sz w:val="18"/>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sz w:val="18"/>
              </w:rPr>
            </w:pPr>
            <w:r>
              <w:rPr>
                <w:sz w:val="18"/>
              </w:rPr>
              <w:t>2,699,185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8"/>
              </w:rPr>
            </w:pPr>
            <w:r>
              <w:rPr>
                <w:b/>
                <w:sz w:val="18"/>
              </w:rPr>
              <w:t>2,699,200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8"/>
              </w:rPr>
            </w:pPr>
            <w:r>
              <w:rPr>
                <w:sz w:val="18"/>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sz w:val="18"/>
              </w:rPr>
            </w:pPr>
            <w:r>
              <w:rPr>
                <w:sz w:val="18"/>
              </w:rPr>
              <w:t>(1,363,270</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sz w:val="18"/>
              </w:rPr>
            </w:pPr>
            <w:r>
              <w:rPr>
                <w:sz w:val="18"/>
              </w:rPr>
              <w:t>(13,160</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(1,376,430</w:t>
            </w:r>
          </w:p>
        </w:tc>
        <w:tc>
          <w:tcPr>
            <w:tcW w:w="75" w:type="dxa"/>
            <w:tcBorders/>
            <w:shd w:fill="CCEEFF" w:val="clear"/>
            <w:vAlign w:val="center"/>
          </w:tcPr>
          <w:p>
            <w:pPr>
              <w:pStyle w:val="TableContents"/>
              <w:bidi w:val="0"/>
              <w:spacing w:before="0" w:after="283"/>
              <w:ind w:left="0" w:right="0" w:hanging="180"/>
              <w:jc w:val="left"/>
              <w:rPr>
                <w:b/>
                <w:sz w:val="18"/>
              </w:rPr>
            </w:pPr>
            <w:r>
              <w:rPr>
                <w:b/>
                <w:sz w:val="18"/>
              </w:rPr>
              <w:t>)</w:t>
            </w:r>
          </w:p>
        </w:tc>
      </w:tr>
      <w:tr>
        <w:trPr/>
        <w:tc>
          <w:tcPr>
            <w:tcW w:w="1130" w:type="dxa"/>
            <w:tcBorders/>
            <w:shd w:fill="FFFFFF" w:val="clear"/>
            <w:vAlign w:val="center"/>
          </w:tcPr>
          <w:p>
            <w:pPr>
              <w:pStyle w:val="TableContents"/>
              <w:bidi w:val="0"/>
              <w:spacing w:before="0" w:after="283"/>
              <w:jc w:val="left"/>
              <w:rPr>
                <w:sz w:val="18"/>
              </w:rPr>
            </w:pPr>
            <w:r>
              <w:rPr>
                <w:sz w:val="18"/>
              </w:rPr>
              <w:t>Exchange difference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right"/>
              <w:rPr>
                <w:sz w:val="18"/>
              </w:rPr>
            </w:pPr>
            <w:r>
              <w:rPr>
                <w:sz w:val="18"/>
              </w:rPr>
              <w:t>(181,472</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b/>
                <w:sz w:val="18"/>
              </w:rPr>
            </w:pPr>
            <w:r>
              <w:rPr>
                <w:b/>
                <w:sz w:val="18"/>
              </w:rPr>
              <w:t>(181,472</w:t>
            </w:r>
          </w:p>
        </w:tc>
        <w:tc>
          <w:tcPr>
            <w:tcW w:w="75" w:type="dxa"/>
            <w:tcBorders/>
            <w:shd w:fill="FFFFFF" w:val="clear"/>
            <w:vAlign w:val="center"/>
          </w:tcPr>
          <w:p>
            <w:pPr>
              <w:pStyle w:val="TableContents"/>
              <w:bidi w:val="0"/>
              <w:spacing w:before="0" w:after="283"/>
              <w:ind w:left="0" w:right="0" w:hanging="180"/>
              <w:jc w:val="left"/>
              <w:rPr>
                <w:b/>
                <w:sz w:val="18"/>
              </w:rPr>
            </w:pPr>
            <w:r>
              <w:rPr>
                <w:b/>
                <w:sz w:val="18"/>
              </w:rPr>
              <w:t>)</w:t>
            </w:r>
          </w:p>
        </w:tc>
      </w:tr>
      <w:tr>
        <w:trPr/>
        <w:tc>
          <w:tcPr>
            <w:tcW w:w="1130" w:type="dxa"/>
            <w:tcBorders/>
            <w:shd w:fill="CCEEFF" w:val="clear"/>
            <w:vAlign w:val="center"/>
          </w:tcPr>
          <w:p>
            <w:pPr>
              <w:pStyle w:val="TableContents"/>
              <w:bidi w:val="0"/>
              <w:spacing w:before="0" w:after="283"/>
              <w:jc w:val="left"/>
              <w:rPr>
                <w:sz w:val="18"/>
              </w:rPr>
            </w:pPr>
            <w:r>
              <w:rPr>
                <w:sz w:val="18"/>
              </w:rPr>
              <w:t>Issuance of Class A Ordinary Shares upon October 2025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8"/>
              </w:rPr>
            </w:pPr>
            <w:r>
              <w:rPr>
                <w:sz w:val="18"/>
              </w:rPr>
              <w:t>1,000,000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sz w:val="18"/>
              </w:rPr>
            </w:pPr>
            <w:r>
              <w:rPr>
                <w:sz w:val="18"/>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sz w:val="18"/>
              </w:rPr>
            </w:pPr>
            <w:r>
              <w:rPr>
                <w:sz w:val="18"/>
              </w:rPr>
              <w:t>873,178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b/>
                <w:sz w:val="18"/>
              </w:rPr>
            </w:pPr>
            <w:r>
              <w:rPr>
                <w:b/>
                <w:sz w:val="18"/>
              </w:rPr>
              <w:t>873,188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8"/>
              </w:rPr>
            </w:pPr>
            <w:r>
              <w:rPr>
                <w:sz w:val="18"/>
              </w:rPr>
              <w:t xml:space="preserve">Accretion of redemption value to contingently redeemable </w:t>
              <w:br/>
              <w:t>warrants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sz w:val="18"/>
              </w:rPr>
            </w:pPr>
            <w:r>
              <w:rPr>
                <w:sz w:val="18"/>
              </w:rPr>
              <w:t>(47,000</w:t>
            </w:r>
          </w:p>
        </w:tc>
        <w:tc>
          <w:tcPr>
            <w:tcW w:w="80" w:type="dxa"/>
            <w:tcBorders/>
            <w:shd w:fill="FFFFFF" w:val="clear"/>
            <w:vAlign w:val="center"/>
          </w:tcPr>
          <w:p>
            <w:pPr>
              <w:pStyle w:val="TableContents"/>
              <w:bidi w:val="0"/>
              <w:spacing w:before="0" w:after="283"/>
              <w:jc w:val="left"/>
              <w:rPr>
                <w:sz w:val="18"/>
              </w:rPr>
            </w:pPr>
            <w:r>
              <w:rPr>
                <w:sz w:val="18"/>
              </w:rPr>
              <w: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4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FFFFFF" w:val="clear"/>
            <w:tcMar>
              <w:bottom w:w="28" w:type="dxa"/>
            </w:tcMar>
            <w:vAlign w:val="center"/>
          </w:tcPr>
          <w:p>
            <w:pPr>
              <w:pStyle w:val="TableContents"/>
              <w:bidi w:val="0"/>
              <w:spacing w:before="0" w:after="283"/>
              <w:jc w:val="right"/>
              <w:rPr>
                <w:b/>
                <w:sz w:val="18"/>
              </w:rPr>
            </w:pPr>
            <w:r>
              <w:rPr>
                <w:b/>
                <w:sz w:val="18"/>
              </w:rPr>
              <w:t>(47,000</w:t>
            </w:r>
          </w:p>
        </w:tc>
        <w:tc>
          <w:tcPr>
            <w:tcW w:w="75" w:type="dxa"/>
            <w:tcBorders/>
            <w:shd w:fill="FFFFFF" w:val="clear"/>
            <w:vAlign w:val="center"/>
          </w:tcPr>
          <w:p>
            <w:pPr>
              <w:pStyle w:val="TableContents"/>
              <w:bidi w:val="0"/>
              <w:spacing w:before="0" w:after="283"/>
              <w:ind w:left="0" w:right="0" w:hanging="180"/>
              <w:jc w:val="left"/>
              <w:rPr>
                <w:b/>
                <w:sz w:val="18"/>
              </w:rPr>
            </w:pPr>
            <w:r>
              <w:rPr>
                <w:b/>
                <w:sz w:val="18"/>
              </w:rPr>
              <w:t>)</w:t>
            </w:r>
          </w:p>
        </w:tc>
      </w:tr>
      <w:tr>
        <w:trPr/>
        <w:tc>
          <w:tcPr>
            <w:tcW w:w="1130" w:type="dxa"/>
            <w:tcBorders/>
            <w:shd w:fill="CCEEFF" w:val="clear"/>
            <w:vAlign w:val="center"/>
          </w:tcPr>
          <w:p>
            <w:pPr>
              <w:pStyle w:val="TableContents"/>
              <w:bidi w:val="0"/>
              <w:spacing w:before="0" w:after="283"/>
              <w:jc w:val="left"/>
              <w:rPr>
                <w:b/>
                <w:sz w:val="18"/>
              </w:rPr>
            </w:pPr>
            <w:r>
              <w:rPr>
                <w:b/>
                <w:sz w:val="18"/>
              </w:rPr>
              <w:t>Balance,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6,346,823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1,796,934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97,000,188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(73,792,798</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7"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(92,310</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sz w:val="18"/>
              </w:rPr>
            </w:pPr>
            <w:r>
              <w:rPr>
                <w:sz w:val="18"/>
              </w:rPr>
              <w:t>(9,370,613</w:t>
            </w:r>
          </w:p>
        </w:tc>
        <w:tc>
          <w:tcPr>
            <w:tcW w:w="80" w:type="dxa"/>
            <w:tcBorders/>
            <w:shd w:fill="CCEEFF" w:val="clear"/>
            <w:vAlign w:val="center"/>
          </w:tcPr>
          <w:p>
            <w:pPr>
              <w:pStyle w:val="TableContents"/>
              <w:bidi w:val="0"/>
              <w:spacing w:before="0" w:after="283"/>
              <w:jc w:val="left"/>
              <w:rPr>
                <w:sz w:val="18"/>
              </w:rPr>
            </w:pPr>
            <w:r>
              <w:rPr>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b/>
                <w:sz w:val="18"/>
              </w:rPr>
            </w:pPr>
            <w:r>
              <w:rPr>
                <w:b/>
                <w:sz w:val="18"/>
              </w:rPr>
              <w:t>13,744,547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283"/>
              <w:jc w:val="both"/>
              <w:rPr/>
            </w:pPr>
            <w:r>
              <w:rPr/>
              <w:t>All per share amounts and shares outstanding for all periods have been retroactively restated to reflect APTORUM GROUP LIMITED’s 1 for 10 reverse stock split, which was effective on January 23, 2023.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_005"/>
      <w:bookmarkEnd w:id="32"/>
      <w:r>
        <w:rPr>
          <w:rFonts w:ascii="Times New Roman;Times;Serif" w:hAnsi="Times New Roman;Times;Serif"/>
          <w:b/>
          <w:i w:val="false"/>
          <w:caps w:val="false"/>
          <w:smallCaps w:val="false"/>
          <w:sz w:val="20"/>
        </w:rPr>
        <w:t>APTORUM GROUP LIMITED</w:t>
        <w:br/>
        <w:t>CONSOLIDATED STATEMENTS OF CASH FLOWS</w:t>
        <w:br/>
        <w:t>For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8"/>
        <w:gridCol w:w="60"/>
        <w:gridCol w:w="169"/>
        <w:gridCol w:w="1285"/>
        <w:gridCol w:w="95"/>
        <w:gridCol w:w="60"/>
        <w:gridCol w:w="169"/>
        <w:gridCol w:w="1285"/>
        <w:gridCol w:w="95"/>
        <w:gridCol w:w="60"/>
        <w:gridCol w:w="72"/>
        <w:gridCol w:w="1284"/>
        <w:gridCol w:w="113"/>
      </w:tblGrid>
      <w:tr>
        <w:trPr/>
        <w:tc>
          <w:tcPr>
            <w:tcW w:w="5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3"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(1,376,430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(4,157,737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(4,340,975</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Amortization and depreciation</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255,046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1,125,254</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Issuance cost in relation to warrant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153,189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Change in fair value of warrant liability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(690,000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1,265,189</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Loss on investments in marketable securities, net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9,266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Unrealized loss (gain) from fair value change of the long-term investments, net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(6,431,088</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Impairment loss of long-term investment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77,200</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(Gain) loss on disposal of long-lived assets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(58,621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110,852</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Impairment loss on long-lived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1,699,481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750,381</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Allowance for credit loss of due from a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521,007</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Write-off of prepayment and other receivables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45,677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62,369</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Write-off of accounts receivable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6,280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Write-down of inventories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13,206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(703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Amortization of right-of-use assets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50,520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252,345</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Interest expense and accretion of convertible debts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180,000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45,266</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Reversal of deferred cash bonus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(1,646,228</w:t>
            </w:r>
          </w:p>
        </w:tc>
        <w:tc>
          <w:tcPr>
            <w:tcW w:w="113" w:type="dxa"/>
            <w:tcBorders/>
            <w:shd w:fill="CCEEFF" w:val="clear"/>
            <w:vAlign w:val="center"/>
          </w:tcPr>
          <w:p>
            <w:pPr>
              <w:pStyle w:val="TableContents"/>
              <w:bidi w:val="0"/>
              <w:spacing w:before="0" w:after="283"/>
              <w:jc w:val="left"/>
              <w:rPr/>
            </w:pPr>
            <w:r>
              <w:rPr/>
              <w:t>)</w:t>
            </w:r>
          </w:p>
        </w:tc>
      </w:tr>
      <w:tr>
        <w:trPr/>
        <w:tc>
          <w:tcPr>
            <w:tcW w:w="5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b/>
              </w:rPr>
            </w:pPr>
            <w:r>
              <w:rPr>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41,349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126,717</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14,516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Other receivables and prepayments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17,506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291,078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227,457</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Long-term deposits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29,106</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63,050</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(8,524</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(28,368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(422,705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398,635</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(91,979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(120,824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(389,365</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(1,836,546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(1,189,734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FFFFFF" w:val="clear"/>
            <w:tcMar>
              <w:bottom w:w="28" w:type="dxa"/>
            </w:tcMar>
            <w:vAlign w:val="center"/>
          </w:tcPr>
          <w:p>
            <w:pPr>
              <w:pStyle w:val="TableContents"/>
              <w:bidi w:val="0"/>
              <w:spacing w:before="0" w:after="283"/>
              <w:jc w:val="right"/>
              <w:rPr/>
            </w:pPr>
            <w:r>
              <w:rPr/>
              <w:t>(7,724,364</w:t>
            </w:r>
          </w:p>
        </w:tc>
        <w:tc>
          <w:tcPr>
            <w:tcW w:w="113" w:type="dxa"/>
            <w:tcBorders/>
            <w:shd w:fill="FFFFFF" w:val="clear"/>
            <w:vAlign w:val="center"/>
          </w:tcPr>
          <w:p>
            <w:pPr>
              <w:pStyle w:val="TableContents"/>
              <w:bidi w:val="0"/>
              <w:spacing w:before="0" w:after="283"/>
              <w:jc w:val="left"/>
              <w:rPr/>
            </w:pPr>
            <w:r>
              <w:rPr/>
              <w:t>)</w:t>
            </w:r>
          </w:p>
        </w:tc>
      </w:tr>
      <w:tr>
        <w:trPr/>
        <w:tc>
          <w:tcPr>
            <w:tcW w:w="54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(3,015</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15,385</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Proceeds from sales of investment securities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right"/>
              <w:rPr/>
            </w:pPr>
            <w:r>
              <w:rPr/>
              <w:t>93,215</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Loan to a related party</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4" w:type="dxa"/>
            <w:tcBorders/>
            <w:shd w:fill="FFFFFF" w:val="clear"/>
            <w:vAlign w:val="center"/>
          </w:tcPr>
          <w:p>
            <w:pPr>
              <w:pStyle w:val="TableContents"/>
              <w:bidi w:val="0"/>
              <w:spacing w:before="0" w:after="283"/>
              <w:jc w:val="right"/>
              <w:rPr/>
            </w:pPr>
            <w:r>
              <w:rPr/>
              <w:t>(92,459</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Repayment of loan and interest from a related party</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CCEEFF" w:val="clear"/>
            <w:tcMar>
              <w:bottom w:w="28" w:type="dxa"/>
            </w:tcMar>
            <w:vAlign w:val="center"/>
          </w:tcPr>
          <w:p>
            <w:pPr>
              <w:pStyle w:val="TableContents"/>
              <w:bidi w:val="0"/>
              <w:spacing w:before="0" w:after="283"/>
              <w:jc w:val="right"/>
              <w:rPr/>
            </w:pPr>
            <w:r>
              <w:rPr/>
              <w:t>611,641</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b/>
              </w:rPr>
            </w:pPr>
            <w:r>
              <w:rPr>
                <w:b/>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58,621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4" w:type="dxa"/>
            <w:tcBorders>
              <w:bottom w:val="single" w:sz="12" w:space="0" w:color="000000"/>
            </w:tcBorders>
            <w:shd w:fill="FFFFFF" w:val="clear"/>
            <w:tcMar>
              <w:bottom w:w="28" w:type="dxa"/>
            </w:tcMar>
            <w:vAlign w:val="center"/>
          </w:tcPr>
          <w:p>
            <w:pPr>
              <w:pStyle w:val="TableContents"/>
              <w:bidi w:val="0"/>
              <w:spacing w:before="0" w:after="283"/>
              <w:jc w:val="right"/>
              <w:rPr/>
            </w:pPr>
            <w:r>
              <w:rPr/>
              <w:t>624,767</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CONSOLIDATED STATEMENTS OF CASH FLOWS — (Continued)</w:t>
        <w:br/>
        <w:t>For Years Ended December 31, 2025, 2024 and 2023</w:t>
        <w:br/>
        <w:t>(Stated in U.S. Dollars)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63"/>
        <w:gridCol w:w="60"/>
        <w:gridCol w:w="180"/>
        <w:gridCol w:w="1273"/>
        <w:gridCol w:w="95"/>
        <w:gridCol w:w="60"/>
        <w:gridCol w:w="168"/>
        <w:gridCol w:w="1285"/>
        <w:gridCol w:w="95"/>
        <w:gridCol w:w="60"/>
        <w:gridCol w:w="72"/>
        <w:gridCol w:w="1280"/>
        <w:gridCol w:w="114"/>
      </w:tblGrid>
      <w:tr>
        <w:trPr/>
        <w:tc>
          <w:tcPr>
            <w:tcW w:w="54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4" w:type="dxa"/>
            <w:tcBorders/>
            <w:vAlign w:val="center"/>
          </w:tcPr>
          <w:p>
            <w:pPr>
              <w:pStyle w:val="TableContents"/>
              <w:bidi w:val="0"/>
              <w:spacing w:before="0" w:after="283"/>
              <w:jc w:val="left"/>
              <w:rPr/>
            </w:pPr>
            <w:r>
              <w:rPr/>
              <w:t> </w:t>
            </w:r>
          </w:p>
        </w:tc>
      </w:tr>
      <w:tr>
        <w:trPr/>
        <w:tc>
          <w:tcPr>
            <w:tcW w:w="5463" w:type="dxa"/>
            <w:tcBorders/>
            <w:vAlign w:val="center"/>
          </w:tcPr>
          <w:p>
            <w:pPr>
              <w:pStyle w:val="TableContents"/>
              <w:bidi w:val="0"/>
              <w:spacing w:before="0" w:after="283"/>
              <w:jc w:val="left"/>
              <w:rPr>
                <w:b/>
              </w:rPr>
            </w:pPr>
            <w:r>
              <w:rPr>
                <w:b/>
              </w:rPr>
              <w:t>Cash flows from financing activities</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2"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Loan from related parties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2,500,000</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Proceeds from issuance of Class A Ordinary Shares, and warrant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1,575,562</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Exercise of share options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16,506</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Payments related to offering costs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(284,001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Repayment of bank loan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(3,000,000</w:t>
            </w:r>
          </w:p>
        </w:tc>
        <w:tc>
          <w:tcPr>
            <w:tcW w:w="114" w:type="dxa"/>
            <w:tcBorders/>
            <w:shd w:fill="CCEEFF" w:val="clear"/>
            <w:vAlign w:val="center"/>
          </w:tcPr>
          <w:p>
            <w:pPr>
              <w:pStyle w:val="TableContents"/>
              <w:bidi w:val="0"/>
              <w:spacing w:before="0" w:after="283"/>
              <w:jc w:val="left"/>
              <w:rPr/>
            </w:pPr>
            <w:r>
              <w:rPr/>
              <w:t>)</w:t>
            </w:r>
          </w:p>
        </w:tc>
      </w:tr>
      <w:tr>
        <w:trPr/>
        <w:tc>
          <w:tcPr>
            <w:tcW w:w="5463" w:type="dxa"/>
            <w:tcBorders/>
            <w:shd w:fill="FFFFFF" w:val="clear"/>
            <w:vAlign w:val="center"/>
          </w:tcPr>
          <w:p>
            <w:pPr>
              <w:pStyle w:val="TableContents"/>
              <w:bidi w:val="0"/>
              <w:spacing w:before="0" w:after="283"/>
              <w:jc w:val="left"/>
              <w:rPr/>
            </w:pPr>
            <w:r>
              <w:rPr/>
              <w:t>Proceeds from issuance of convertible notes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3,000,000</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Proceeds from issuance of Class A Ordinary Shares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3,070,000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Payments related to offering costs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(370,800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CCEEFF" w:val="clear"/>
            <w:tcMar>
              <w:bottom w:w="28" w:type="dxa"/>
            </w:tcMar>
            <w:vAlign w:val="center"/>
          </w:tcPr>
          <w:p>
            <w:pPr>
              <w:pStyle w:val="TableContents"/>
              <w:bidi w:val="0"/>
              <w:spacing w:before="0" w:after="283"/>
              <w:jc w:val="right"/>
              <w:rPr/>
            </w:pPr>
            <w:r>
              <w:rPr/>
              <w:t>4,415,199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4,092,068</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Net increase (decrease) in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2,578,653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(1,131,113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(3,007,529</w:t>
            </w:r>
          </w:p>
        </w:tc>
        <w:tc>
          <w:tcPr>
            <w:tcW w:w="114" w:type="dxa"/>
            <w:tcBorders/>
            <w:shd w:fill="CCEEFF" w:val="clear"/>
            <w:vAlign w:val="center"/>
          </w:tcPr>
          <w:p>
            <w:pPr>
              <w:pStyle w:val="TableContents"/>
              <w:bidi w:val="0"/>
              <w:spacing w:before="0" w:after="283"/>
              <w:jc w:val="left"/>
              <w:rPr/>
            </w:pPr>
            <w:r>
              <w:rPr/>
              <w:t>)</w:t>
            </w:r>
          </w:p>
        </w:tc>
      </w:tr>
      <w:tr>
        <w:trPr/>
        <w:tc>
          <w:tcPr>
            <w:tcW w:w="5463" w:type="dxa"/>
            <w:tcBorders/>
            <w:shd w:fill="FFFFFF" w:val="clear"/>
            <w:vAlign w:val="center"/>
          </w:tcPr>
          <w:p>
            <w:pPr>
              <w:pStyle w:val="TableContents"/>
              <w:bidi w:val="0"/>
              <w:spacing w:before="0" w:after="283"/>
              <w:jc w:val="left"/>
              <w:rPr/>
            </w:pPr>
            <w:r>
              <w:rPr/>
              <w:t>Cash and cash equivalents – Beginning of year</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3" w:type="dxa"/>
            <w:tcBorders>
              <w:bottom w:val="single" w:sz="12" w:space="0" w:color="000000"/>
            </w:tcBorders>
            <w:shd w:fill="FFFFFF" w:val="clear"/>
            <w:tcMar>
              <w:bottom w:w="28" w:type="dxa"/>
            </w:tcMar>
            <w:vAlign w:val="center"/>
          </w:tcPr>
          <w:p>
            <w:pPr>
              <w:pStyle w:val="TableContents"/>
              <w:bidi w:val="0"/>
              <w:spacing w:before="0" w:after="283"/>
              <w:jc w:val="right"/>
              <w:rPr/>
            </w:pPr>
            <w:r>
              <w:rPr/>
              <w:t>874,238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5" w:type="dxa"/>
            <w:tcBorders>
              <w:bottom w:val="single" w:sz="12" w:space="0" w:color="000000"/>
            </w:tcBorders>
            <w:shd w:fill="FFFFFF" w:val="clear"/>
            <w:tcMar>
              <w:bottom w:w="28" w:type="dxa"/>
            </w:tcMar>
            <w:vAlign w:val="center"/>
          </w:tcPr>
          <w:p>
            <w:pPr>
              <w:pStyle w:val="TableContents"/>
              <w:bidi w:val="0"/>
              <w:spacing w:before="0" w:after="283"/>
              <w:jc w:val="right"/>
              <w:rPr/>
            </w:pPr>
            <w:r>
              <w:rPr/>
              <w:t>2,005,351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FFFFFF" w:val="clear"/>
            <w:tcMar>
              <w:bottom w:w="28" w:type="dxa"/>
            </w:tcMar>
            <w:vAlign w:val="center"/>
          </w:tcPr>
          <w:p>
            <w:pPr>
              <w:pStyle w:val="TableContents"/>
              <w:bidi w:val="0"/>
              <w:spacing w:before="0" w:after="283"/>
              <w:jc w:val="right"/>
              <w:rPr/>
            </w:pPr>
            <w:r>
              <w:rPr/>
              <w:t>5,012,880</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Cash and cash equivalents – End of year</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3" w:type="dxa"/>
            <w:tcBorders>
              <w:bottom w:val="double" w:sz="10" w:space="0" w:color="000000"/>
            </w:tcBorders>
            <w:shd w:fill="CCEEFF" w:val="clear"/>
            <w:tcMar>
              <w:bottom w:w="28" w:type="dxa"/>
            </w:tcMar>
            <w:vAlign w:val="center"/>
          </w:tcPr>
          <w:p>
            <w:pPr>
              <w:pStyle w:val="TableContents"/>
              <w:bidi w:val="0"/>
              <w:spacing w:before="0" w:after="283"/>
              <w:jc w:val="right"/>
              <w:rPr/>
            </w:pPr>
            <w:r>
              <w:rPr/>
              <w:t>3,452,891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5" w:type="dxa"/>
            <w:tcBorders>
              <w:bottom w:val="double" w:sz="10" w:space="0" w:color="000000"/>
            </w:tcBorders>
            <w:shd w:fill="CCEEFF" w:val="clear"/>
            <w:tcMar>
              <w:bottom w:w="28" w:type="dxa"/>
            </w:tcMar>
            <w:vAlign w:val="center"/>
          </w:tcPr>
          <w:p>
            <w:pPr>
              <w:pStyle w:val="TableContents"/>
              <w:bidi w:val="0"/>
              <w:spacing w:before="0" w:after="283"/>
              <w:jc w:val="right"/>
              <w:rPr/>
            </w:pPr>
            <w:r>
              <w:rPr/>
              <w:t>874,238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double" w:sz="10" w:space="0" w:color="000000"/>
            </w:tcBorders>
            <w:shd w:fill="CCEEFF" w:val="clear"/>
            <w:tcMar>
              <w:bottom w:w="28" w:type="dxa"/>
            </w:tcMar>
            <w:vAlign w:val="center"/>
          </w:tcPr>
          <w:p>
            <w:pPr>
              <w:pStyle w:val="TableContents"/>
              <w:bidi w:val="0"/>
              <w:spacing w:before="0" w:after="283"/>
              <w:jc w:val="right"/>
              <w:rPr/>
            </w:pPr>
            <w:r>
              <w:rPr/>
              <w:t>2,005,351</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94,108</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b/>
              </w:rPr>
            </w:pPr>
            <w:r>
              <w:rPr>
                <w:b/>
              </w:rPr>
              <w:t>Non-cash operating, investing and financing activities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Reclassification of placement agent warrant redemption amount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3" w:type="dxa"/>
            <w:tcBorders/>
            <w:shd w:fill="CCEEFF" w:val="clear"/>
            <w:vAlign w:val="center"/>
          </w:tcPr>
          <w:p>
            <w:pPr>
              <w:pStyle w:val="TableContents"/>
              <w:bidi w:val="0"/>
              <w:spacing w:before="0" w:after="283"/>
              <w:jc w:val="right"/>
              <w:rPr/>
            </w:pPr>
            <w:r>
              <w:rPr/>
              <w:t>47,000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Right-of-use assets obtained in exchange for new operating lease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338,525</w:t>
            </w:r>
          </w:p>
        </w:tc>
        <w:tc>
          <w:tcPr>
            <w:tcW w:w="114" w:type="dxa"/>
            <w:tcBorders/>
            <w:shd w:fill="FFFFFF" w:val="clear"/>
            <w:vAlign w:val="center"/>
          </w:tcPr>
          <w:p>
            <w:pPr>
              <w:pStyle w:val="TableContents"/>
              <w:bidi w:val="0"/>
              <w:spacing w:before="0" w:after="283"/>
              <w:jc w:val="left"/>
              <w:rPr/>
            </w:pPr>
            <w:r>
              <w:rPr/>
              <w:t> </w:t>
            </w:r>
          </w:p>
        </w:tc>
      </w:tr>
      <w:tr>
        <w:trPr/>
        <w:tc>
          <w:tcPr>
            <w:tcW w:w="5463" w:type="dxa"/>
            <w:tcBorders/>
            <w:shd w:fill="CCEEFF" w:val="clear"/>
            <w:vAlign w:val="center"/>
          </w:tcPr>
          <w:p>
            <w:pPr>
              <w:pStyle w:val="TableContents"/>
              <w:bidi w:val="0"/>
              <w:spacing w:before="0" w:after="283"/>
              <w:jc w:val="left"/>
              <w:rPr/>
            </w:pPr>
            <w:r>
              <w:rPr/>
              <w:t>Convertible notes converted to Class A Ordinary Shares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6,000,000</w:t>
            </w:r>
          </w:p>
        </w:tc>
        <w:tc>
          <w:tcPr>
            <w:tcW w:w="114" w:type="dxa"/>
            <w:tcBorders/>
            <w:shd w:fill="CCEEFF" w:val="clear"/>
            <w:vAlign w:val="center"/>
          </w:tcPr>
          <w:p>
            <w:pPr>
              <w:pStyle w:val="TableContents"/>
              <w:bidi w:val="0"/>
              <w:spacing w:before="0" w:after="283"/>
              <w:jc w:val="left"/>
              <w:rPr/>
            </w:pPr>
            <w:r>
              <w:rPr/>
              <w:t> </w:t>
            </w:r>
          </w:p>
        </w:tc>
      </w:tr>
      <w:tr>
        <w:trPr/>
        <w:tc>
          <w:tcPr>
            <w:tcW w:w="5463" w:type="dxa"/>
            <w:tcBorders/>
            <w:shd w:fill="FFFFFF" w:val="clear"/>
            <w:vAlign w:val="center"/>
          </w:tcPr>
          <w:p>
            <w:pPr>
              <w:pStyle w:val="TableContents"/>
              <w:bidi w:val="0"/>
              <w:spacing w:before="0" w:after="283"/>
              <w:jc w:val="left"/>
              <w:rPr/>
            </w:pPr>
            <w:r>
              <w:rPr/>
              <w:t>Settlement of deferred cash bonus by issuance of share options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1285" w:type="dxa"/>
            <w:tcBorders/>
            <w:shd w:fill="FFFFFF" w:val="clear"/>
            <w:vAlign w:val="center"/>
          </w:tcPr>
          <w:p>
            <w:pPr>
              <w:pStyle w:val="TableContents"/>
              <w:bidi w:val="0"/>
              <w:spacing w:before="0" w:after="283"/>
              <w:jc w:val="right"/>
              <w:rPr/>
            </w:pPr>
            <w:r>
              <w:rPr/>
              <w:t>451,660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3,078,196</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f_006"/>
      <w:bookmarkEnd w:id="33"/>
      <w:r>
        <w:rPr>
          <w:rFonts w:ascii="Times New Roman;Times;Serif" w:hAnsi="Times New Roman;Times;Serif"/>
          <w:b/>
          <w:i w:val="false"/>
          <w:caps w:val="false"/>
          <w:smallCaps w:val="false"/>
          <w:sz w:val="20"/>
        </w:rPr>
        <w:t>APTORUM GROUP LIMITED</w:t>
        <w:br/>
        <w:t>NOTES TO CONSOLIDATED FINANCIAL STATEMENTS</w:t>
        <w:br/>
        <w:t xml:space="preserve">(Stated in U.S. Dollars)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Aptorum Group Limited (the “Company”) and its subsidiaries. The Company and its subsidiaries are hereinafter collectively referred to as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formerly known as APTUS Holdings Limited and STRIKER ASIA OPPORTUNITIES FUND CORPORATION, is a company incorporated on September 13, 2010 under the laws of the Cayman Islands with limited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researches and develops life science and biopharmaceutical products within its wholly-owned subsidiary, Aptorum Therapeutics Limited, formerly known as APTUS Therapeutics Limited (“Aptorum Therapeutics”) and its indirect subsidiary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 approximately 87% of the Group’s total voting power, signed a voting and support agreement simultaneously with the execution of the Merger Agreement, pursuant to which he agreed to vote in favor of the transactions contemplated in the Merger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summarizes the list of the major subsidiaries consolidated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68"/>
        <w:gridCol w:w="60"/>
        <w:gridCol w:w="1243"/>
        <w:gridCol w:w="60"/>
        <w:gridCol w:w="935"/>
        <w:gridCol w:w="60"/>
        <w:gridCol w:w="1258"/>
        <w:gridCol w:w="60"/>
        <w:gridCol w:w="4161"/>
      </w:tblGrid>
      <w:tr>
        <w:trPr/>
        <w:tc>
          <w:tcPr>
            <w:tcW w:w="2368"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24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Incorporation </w:t>
              <w:br/>
              <w:t>date</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Ownership</w:t>
            </w:r>
          </w:p>
        </w:tc>
        <w:tc>
          <w:tcPr>
            <w:tcW w:w="60" w:type="dxa"/>
            <w:tcBorders/>
            <w:tcMar>
              <w:bottom w:w="0" w:type="dxa"/>
            </w:tcMar>
            <w:vAlign w:val="center"/>
          </w:tcPr>
          <w:p>
            <w:pPr>
              <w:pStyle w:val="TableContents"/>
              <w:bidi w:val="0"/>
              <w:spacing w:before="0" w:after="283"/>
              <w:jc w:val="left"/>
              <w:rPr/>
            </w:pPr>
            <w:r>
              <w:rPr/>
              <w:t> </w:t>
            </w:r>
          </w:p>
        </w:tc>
        <w:tc>
          <w:tcPr>
            <w:tcW w:w="1258"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Place of </w:t>
              <w:br/>
              <w:t>incorporation</w:t>
            </w:r>
          </w:p>
        </w:tc>
        <w:tc>
          <w:tcPr>
            <w:tcW w:w="60" w:type="dxa"/>
            <w:tcBorders/>
            <w:tcMar>
              <w:bottom w:w="0" w:type="dxa"/>
            </w:tcMar>
            <w:vAlign w:val="center"/>
          </w:tcPr>
          <w:p>
            <w:pPr>
              <w:pStyle w:val="TableContents"/>
              <w:bidi w:val="0"/>
              <w:spacing w:before="0" w:after="283"/>
              <w:jc w:val="left"/>
              <w:rPr/>
            </w:pPr>
            <w:r>
              <w:rPr/>
              <w:t> </w:t>
            </w:r>
          </w:p>
        </w:tc>
        <w:tc>
          <w:tcPr>
            <w:tcW w:w="4161" w:type="dxa"/>
            <w:tcBorders>
              <w:bottom w:val="single" w:sz="12" w:space="0" w:color="000000"/>
            </w:tcBorders>
            <w:vAlign w:val="center"/>
          </w:tcPr>
          <w:p>
            <w:pPr>
              <w:pStyle w:val="TableContents"/>
              <w:bidi w:val="0"/>
              <w:spacing w:before="0" w:after="283"/>
              <w:ind w:left="0" w:right="0" w:hanging="360"/>
              <w:jc w:val="center"/>
              <w:rPr>
                <w:rFonts w:ascii="Times New Roman;Times;Serif" w:hAnsi="Times New Roman;Times;Serif"/>
                <w:b/>
                <w:sz w:val="20"/>
              </w:rPr>
            </w:pPr>
            <w:r>
              <w:rPr>
                <w:rFonts w:ascii="Times New Roman;Times;Serif" w:hAnsi="Times New Roman;Times;Serif"/>
                <w:b/>
                <w:sz w:val="20"/>
              </w:rPr>
              <w:t>Principle activities</w:t>
            </w:r>
          </w:p>
        </w:tc>
      </w:tr>
      <w:tr>
        <w:trPr/>
        <w:tc>
          <w:tcPr>
            <w:tcW w:w="23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Aptorum Therapeutics Limited (“ATL”)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30,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of life science and biopharmaceutical products</w:t>
            </w:r>
          </w:p>
        </w:tc>
      </w:tr>
      <w:tr>
        <w:trPr/>
        <w:tc>
          <w:tcPr>
            <w:tcW w:w="23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APTUS MANAGEMENT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16,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Hong Kong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6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Provision of management services to its holding company and fellow subsidiaries</w:t>
            </w:r>
          </w:p>
        </w:tc>
      </w:tr>
      <w:tr>
        <w:trPr/>
        <w:tc>
          <w:tcPr>
            <w:tcW w:w="23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Paths Innovations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April 15,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holding company</w:t>
            </w:r>
          </w:p>
        </w:tc>
      </w:tr>
      <w:tr>
        <w:trPr/>
        <w:tc>
          <w:tcPr>
            <w:tcW w:w="236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Paths Diagnostics Pte. Limited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5, 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8"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Singapore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61"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of life science and biopharmaceutical products</w:t>
            </w:r>
          </w:p>
        </w:tc>
      </w:tr>
      <w:tr>
        <w:trPr/>
        <w:tc>
          <w:tcPr>
            <w:tcW w:w="236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Acticule Life Sciences Limited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30,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8"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Cayman Islands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1"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of life science and biopharmaceutical products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w:t>
      </w:r>
    </w:p>
    <w:p>
      <w:pPr>
        <w:pStyle w:val="TextBody"/>
        <w:bidi w:val="0"/>
        <w:spacing w:before="0" w:after="0"/>
        <w:ind w:left="960" w:right="0" w:hanging="480"/>
        <w:jc w:val="both"/>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70"/>
        <w:gridCol w:w="9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470" w:type="dxa"/>
            <w:tcBorders/>
            <w:vAlign w:val="center"/>
          </w:tcPr>
          <w:p>
            <w:pPr>
              <w:pStyle w:val="TableContents"/>
              <w:bidi w:val="0"/>
              <w:spacing w:before="0" w:after="283"/>
              <w:jc w:val="both"/>
              <w:rPr/>
            </w:pPr>
            <w:r>
              <w:rPr/>
              <w:t>other available sources of financing from banks and other financial institutions or private lender; and</w:t>
            </w:r>
          </w:p>
        </w:tc>
      </w:tr>
    </w:tbl>
    <w:p>
      <w:pPr>
        <w:pStyle w:val="TextBody"/>
        <w:bidi w:val="0"/>
        <w:spacing w:before="0" w:after="0"/>
        <w:ind w:left="960" w:right="0" w:hanging="480"/>
        <w:jc w:val="both"/>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170"/>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625" w:type="dxa"/>
            <w:tcBorders/>
            <w:vAlign w:val="center"/>
          </w:tcPr>
          <w:p>
            <w:pPr>
              <w:pStyle w:val="TableContents"/>
              <w:bidi w:val="0"/>
              <w:spacing w:before="0" w:after="283"/>
              <w:jc w:val="both"/>
              <w:rPr/>
            </w:pPr>
            <w:r>
              <w:rPr/>
              <w:t>equity financing.</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Principles of presentation and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Group are presented on the accrual basis of accounting in accordance with accounting principles generally accepted in the United States of America (“U.S. GAAP”) and pursuant to the rules and regulations of the 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Non-controlling interests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Foreign currency translation and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consists of cash on hand, bank deposits and time deposits with an original maturity of three months or less at the date of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Accounts receivable and amounts due from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Times New Roman;Times;Serif" w:hAnsi="Times New Roman;Times;Serif"/>
          <w:b w:val="false"/>
          <w:i/>
          <w:caps w:val="false"/>
          <w:smallCaps w:val="false"/>
          <w:sz w:val="20"/>
        </w:rPr>
        <w:t>Credit Losses</w:t>
      </w:r>
      <w:r>
        <w:rPr>
          <w:rFonts w:ascii="Times New Roman;Times;Serif" w:hAnsi="Times New Roman;Times;Serif"/>
          <w:b w:val="false"/>
          <w:i w:val="false"/>
          <w:caps w:val="false"/>
          <w:smallCaps w:val="false"/>
          <w:sz w:val="20"/>
        </w:rPr>
        <w:t xml:space="preserve"> and records the allowance for credit losses as an offset to accounts receivable or 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Long-term investments,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Non-marketable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method investment —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fair value hierarchy prioritizes the inputs utilized in measuring fair value as follows: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1 applies to assets or liabilities for which there are quoted prices in active markets for identical assets or liabilities.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Level 3 applies to assets or liabilities for which there are unobservable inputs to the valuation methodology that are significant to the measurement of the fair value of the assets or liabilities.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Measured at Fair Value on a 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represent the fair value hierarchy of the Group’s financial assets and liabilities measured at fair value on a recurring basis as of December 31, 2025 and there is no such financial liabilities measured at fair value on a recurring basis as of December 31, 2024.</w:t>
      </w:r>
    </w:p>
    <w:p>
      <w:pPr>
        <w:pStyle w:val="TextBody"/>
        <w:bidi w:val="0"/>
        <w:spacing w:before="0" w:after="0"/>
        <w:ind w:left="0" w:right="0" w:hanging="0"/>
        <w:jc w:val="both"/>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2000"/>
        <w:gridCol w:w="60"/>
        <w:gridCol w:w="489"/>
        <w:gridCol w:w="910"/>
        <w:gridCol w:w="107"/>
        <w:gridCol w:w="107"/>
        <w:gridCol w:w="410"/>
        <w:gridCol w:w="764"/>
        <w:gridCol w:w="107"/>
        <w:gridCol w:w="107"/>
        <w:gridCol w:w="250"/>
        <w:gridCol w:w="1430"/>
        <w:gridCol w:w="107"/>
        <w:gridCol w:w="107"/>
        <w:gridCol w:w="250"/>
        <w:gridCol w:w="1430"/>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7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7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Fair Value Measurement at the Reporting Date using</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Quoted price </w:t>
              <w:br/>
              <w:t xml:space="preserve">in active </w:t>
              <w:br/>
              <w:t xml:space="preserve">markets for </w:t>
              <w:br/>
              <w:t xml:space="preserve">identical </w:t>
              <w:br/>
              <w:t xml:space="preserve">assets </w:t>
              <w:br/>
              <w:t>Level 1</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other </w:t>
              <w:br/>
              <w:t xml:space="preserve">observable </w:t>
              <w:br/>
              <w:t xml:space="preserve">inputs </w:t>
              <w:br/>
              <w:t>Level 2</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unobservable </w:t>
              <w:br/>
              <w:t xml:space="preserve">inputs </w:t>
              <w:br/>
              <w:t>Level 3</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b/>
              </w:rPr>
            </w:pPr>
            <w:r>
              <w:rPr>
                <w:b/>
              </w:rPr>
              <w:t>Financial liabilities:</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68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306,000</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5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30" w:type="dxa"/>
            <w:tcBorders>
              <w:bottom w:val="single" w:sz="12" w:space="0" w:color="000000"/>
            </w:tcBorders>
            <w:shd w:fill="CCEEFF" w:val="clear"/>
            <w:tcMar>
              <w:bottom w:w="28" w:type="dxa"/>
            </w:tcMar>
            <w:vAlign w:val="center"/>
          </w:tcPr>
          <w:p>
            <w:pPr>
              <w:pStyle w:val="TableContents"/>
              <w:bidi w:val="0"/>
              <w:spacing w:before="0" w:after="283"/>
              <w:jc w:val="right"/>
              <w:rPr/>
            </w:pPr>
            <w:r>
              <w:rPr/>
              <w:t>306,000</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489"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41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306,000</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5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430" w:type="dxa"/>
            <w:tcBorders>
              <w:bottom w:val="double" w:sz="10" w:space="0" w:color="000000"/>
            </w:tcBorders>
            <w:shd w:fill="FFFFFF" w:val="clear"/>
            <w:tcMar>
              <w:bottom w:w="28" w:type="dxa"/>
            </w:tcMar>
            <w:vAlign w:val="center"/>
          </w:tcPr>
          <w:p>
            <w:pPr>
              <w:pStyle w:val="TableContents"/>
              <w:bidi w:val="0"/>
              <w:spacing w:before="0" w:after="283"/>
              <w:jc w:val="right"/>
              <w:rPr/>
            </w:pPr>
            <w:r>
              <w:rPr/>
              <w:t>306,000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property and equipment is provided using the straight-line method over their estimated useful lives:</w:t>
      </w:r>
    </w:p>
    <w:p>
      <w:pPr>
        <w:pStyle w:val="TextBody"/>
        <w:bidi w:val="0"/>
        <w:spacing w:before="0" w:after="0"/>
        <w:ind w:left="0" w:right="0" w:firstLine="36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4955"/>
        <w:gridCol w:w="60"/>
        <w:gridCol w:w="4415"/>
      </w:tblGrid>
      <w:tr>
        <w:trPr/>
        <w:tc>
          <w:tcPr>
            <w:tcW w:w="495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center"/>
              <w:rPr/>
            </w:pPr>
            <w:r>
              <w:rPr/>
              <w:t>3 years</w:t>
            </w:r>
          </w:p>
        </w:tc>
      </w:tr>
      <w:tr>
        <w:trPr/>
        <w:tc>
          <w:tcPr>
            <w:tcW w:w="4955" w:type="dxa"/>
            <w:tcBorders/>
            <w:shd w:fill="FFFFFF" w:val="clear"/>
            <w:vAlign w:val="center"/>
          </w:tcPr>
          <w:p>
            <w:pPr>
              <w:pStyle w:val="TableContents"/>
              <w:bidi w:val="0"/>
              <w:spacing w:before="0" w:after="283"/>
              <w:jc w:val="both"/>
              <w:rPr/>
            </w:pPr>
            <w:r>
              <w:rPr/>
              <w:t>Furniture, fixture, and office and medical equipment</w:t>
            </w:r>
          </w:p>
        </w:tc>
        <w:tc>
          <w:tcPr>
            <w:tcW w:w="6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center"/>
              <w:rPr/>
            </w:pPr>
            <w:r>
              <w:rPr/>
              <w:t>5 years</w:t>
            </w:r>
          </w:p>
        </w:tc>
      </w:tr>
      <w:tr>
        <w:trPr/>
        <w:tc>
          <w:tcPr>
            <w:tcW w:w="495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center"/>
              <w:rPr/>
            </w:pPr>
            <w:r>
              <w:rPr/>
              <w:t>Shorter of the remaining lease terms or 5 years</w:t>
            </w:r>
          </w:p>
        </w:tc>
      </w:tr>
      <w:tr>
        <w:trPr/>
        <w:tc>
          <w:tcPr>
            <w:tcW w:w="4955" w:type="dxa"/>
            <w:tcBorders/>
            <w:shd w:fill="FFFFFF" w:val="clear"/>
            <w:vAlign w:val="center"/>
          </w:tcPr>
          <w:p>
            <w:pPr>
              <w:pStyle w:val="TableContents"/>
              <w:bidi w:val="0"/>
              <w:spacing w:before="0" w:after="283"/>
              <w:jc w:val="both"/>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415" w:type="dxa"/>
            <w:tcBorders/>
            <w:shd w:fill="FFFFFF" w:val="clear"/>
            <w:vAlign w:val="center"/>
          </w:tcPr>
          <w:p>
            <w:pPr>
              <w:pStyle w:val="TableContents"/>
              <w:bidi w:val="0"/>
              <w:spacing w:before="0" w:after="283"/>
              <w:jc w:val="center"/>
              <w:rPr/>
            </w:pPr>
            <w:r>
              <w:rPr/>
              <w:t>5 years</w:t>
            </w:r>
          </w:p>
        </w:tc>
      </w:tr>
      <w:tr>
        <w:trPr/>
        <w:tc>
          <w:tcPr>
            <w:tcW w:w="4955" w:type="dxa"/>
            <w:tcBorders/>
            <w:shd w:fill="CCEEFF" w:val="clear"/>
            <w:vAlign w:val="center"/>
          </w:tcPr>
          <w:p>
            <w:pPr>
              <w:pStyle w:val="TableContents"/>
              <w:bidi w:val="0"/>
              <w:spacing w:before="0" w:after="283"/>
              <w:jc w:val="both"/>
              <w:rPr/>
            </w:pPr>
            <w:r>
              <w:rPr/>
              <w:t>Motor vehicle</w:t>
            </w:r>
          </w:p>
        </w:tc>
        <w:tc>
          <w:tcPr>
            <w:tcW w:w="60" w:type="dxa"/>
            <w:tcBorders/>
            <w:shd w:fill="CCEEFF" w:val="clear"/>
            <w:vAlign w:val="center"/>
          </w:tcPr>
          <w:p>
            <w:pPr>
              <w:pStyle w:val="TableContents"/>
              <w:bidi w:val="0"/>
              <w:spacing w:before="0" w:after="283"/>
              <w:jc w:val="left"/>
              <w:rPr/>
            </w:pPr>
            <w:r>
              <w:rPr/>
              <w:t> </w:t>
            </w:r>
          </w:p>
        </w:tc>
        <w:tc>
          <w:tcPr>
            <w:tcW w:w="4415" w:type="dxa"/>
            <w:tcBorders/>
            <w:shd w:fill="CCEEFF" w:val="clear"/>
            <w:vAlign w:val="center"/>
          </w:tcPr>
          <w:p>
            <w:pPr>
              <w:pStyle w:val="TableContents"/>
              <w:bidi w:val="0"/>
              <w:spacing w:before="0" w:after="283"/>
              <w:jc w:val="center"/>
              <w:rPr/>
            </w:pPr>
            <w:r>
              <w:rPr/>
              <w:t>5 years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sale or disposal, the applicable amounts of asset cost and accumulated depreciation are removed from the accounts and the net amount less proceeds from disposal is charged or credited to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intangible assets mainly consist of computer software and is amortized over its useful life. The estimated useful life is generally 5 years. The Group will reassess the remaining useful life on annual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Convertible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and accounts for conversion options embedded in convertible notes in accordance with ASC 815 “Derivatives and Hedging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Operating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 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elected not to recognize right-of-use assets or lease liabilities for leases with an initial term of 12 months or less and the Group recognizes lease expense for these leases on a straight-line basis over the lease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 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are derived from healthcare services rendered to patients for healthcare consultation and medical treatment. Revenue is reported at the amount that reflects the consideration to which the Group expects to be entitled in exchange for providing healthcare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recognizes revenue as its performance obligations are completed. Healthcare services are treated as a single performance obligation satisfied at a point in time because the performance obligations are generally satisfied over a period of less than one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Cost of healthcare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healthcare services rendered represents cost in relation to the medical services provided including the compensation of the physicians, cost of pharmaceutical supplies and medicine and write-down of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Research and development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Government Subsidies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Share-based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Comprehensive income or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Net income or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uses the management approach to determine operating segment. The management approach considers the internal organization and reporting used by the Group’s chief operating decision maker (’‘CODM’’) for making decisions, allocation of resource and assessing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long-lived assets are substantially all located in Hong Kong and substantially all of the Group’s revenues are derived from within Hong Kong. Therefore, no geographical segments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Concentration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which potentially subject the Group to concentrations of credit risk consist principally of bank deposits and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takes on exposure to credit risk on cash balances majority held with HSBC for the purposes of payments of Group expenses. The risk of default is considered minimal as the Group considers HSBC is well established with high credit rating.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standards which have not yet been adopted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believe other recently issued but not yet effective accounting standards, if currently adopted, would have a material impact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LONG-TERM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Group’s long-term investment consists of non-marketable investments with carrying value of $15,098,846 and equity method investment at fair value option with carrying value of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Non-marketable investments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total carrying value of the non-marketable investments held as of December 31, 2025 and 2024 including cumulative unrealized upward adjustments and impairment made to the initial cost basis of the investments:</w:t>
      </w:r>
    </w:p>
    <w:p>
      <w:pPr>
        <w:pStyle w:val="TextBody"/>
        <w:bidi w:val="0"/>
        <w:spacing w:before="0" w:after="0"/>
        <w:ind w:left="0" w:right="0" w:firstLine="360"/>
        <w:jc w:val="both"/>
        <w:rPr>
          <w:caps w:val="false"/>
          <w:smallCaps w:val="false"/>
        </w:rPr>
      </w:pPr>
      <w:r>
        <w:rPr>
          <w:caps w:val="false"/>
          <w:smallCaps w:val="false"/>
        </w:rPr>
        <w:t> </w:t>
      </w:r>
    </w:p>
    <w:tbl>
      <w:tblPr>
        <w:tblW w:w="12030" w:type="dxa"/>
        <w:jc w:val="left"/>
        <w:tblInd w:w="0" w:type="dxa"/>
        <w:tblLayout w:type="fixed"/>
        <w:tblCellMar>
          <w:top w:w="0" w:type="dxa"/>
          <w:left w:w="0" w:type="dxa"/>
          <w:bottom w:w="0" w:type="dxa"/>
          <w:right w:w="0" w:type="dxa"/>
        </w:tblCellMar>
      </w:tblPr>
      <w:tblGrid>
        <w:gridCol w:w="1295"/>
        <w:gridCol w:w="60"/>
        <w:gridCol w:w="140"/>
        <w:gridCol w:w="980"/>
        <w:gridCol w:w="60"/>
        <w:gridCol w:w="60"/>
        <w:gridCol w:w="141"/>
        <w:gridCol w:w="1109"/>
        <w:gridCol w:w="60"/>
        <w:gridCol w:w="60"/>
        <w:gridCol w:w="144"/>
        <w:gridCol w:w="1091"/>
        <w:gridCol w:w="95"/>
        <w:gridCol w:w="60"/>
        <w:gridCol w:w="140"/>
        <w:gridCol w:w="1100"/>
        <w:gridCol w:w="60"/>
        <w:gridCol w:w="60"/>
        <w:gridCol w:w="140"/>
        <w:gridCol w:w="980"/>
        <w:gridCol w:w="60"/>
        <w:gridCol w:w="60"/>
        <w:gridCol w:w="141"/>
        <w:gridCol w:w="1109"/>
        <w:gridCol w:w="60"/>
        <w:gridCol w:w="60"/>
        <w:gridCol w:w="144"/>
        <w:gridCol w:w="1091"/>
        <w:gridCol w:w="95"/>
        <w:gridCol w:w="60"/>
        <w:gridCol w:w="140"/>
        <w:gridCol w:w="1100"/>
        <w:gridCol w:w="75"/>
      </w:tblGrid>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Upward </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Upward </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Impairment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value</w:t>
            </w:r>
          </w:p>
        </w:tc>
        <w:tc>
          <w:tcPr>
            <w:tcW w:w="75" w:type="dxa"/>
            <w:tcBorders/>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A</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2,558,886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12,539,960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15,098,846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2,558,886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09" w:type="dxa"/>
            <w:tcBorders/>
            <w:shd w:fill="CCEEFF" w:val="clear"/>
            <w:vAlign w:val="center"/>
          </w:tcPr>
          <w:p>
            <w:pPr>
              <w:pStyle w:val="TableContents"/>
              <w:bidi w:val="0"/>
              <w:spacing w:before="0" w:after="283"/>
              <w:jc w:val="right"/>
              <w:rPr/>
            </w:pPr>
            <w:r>
              <w:rPr/>
              <w:t>12,539,960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15,098,846</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B</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91" w:type="dxa"/>
            <w:tcBorders/>
            <w:shd w:fill="FFFFFF" w:val="cle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295" w:type="dxa"/>
            <w:tcBorders/>
            <w:shd w:fill="CCEEFF" w:val="clear"/>
            <w:vAlign w:val="center"/>
          </w:tcPr>
          <w:p>
            <w:pPr>
              <w:pStyle w:val="TableContents"/>
              <w:bidi w:val="0"/>
              <w:spacing w:before="0" w:after="283"/>
              <w:jc w:val="left"/>
              <w:rPr/>
            </w:pPr>
            <w:r>
              <w:rPr/>
              <w:t>Investment C</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1" w:type="dxa"/>
            <w:tcBorders>
              <w:bottom w:val="single" w:sz="12" w:space="0" w:color="000000"/>
            </w:tcBorders>
            <w:shd w:fill="CCEEFF" w:val="clear"/>
            <w:tcMar>
              <w:bottom w:w="28" w:type="dxa"/>
            </w:tcMar>
            <w:vAlign w:val="center"/>
          </w:tcPr>
          <w:p>
            <w:pPr>
              <w:pStyle w:val="TableContents"/>
              <w:bidi w:val="0"/>
              <w:spacing w:before="0" w:after="283"/>
              <w:jc w:val="right"/>
              <w:rPr/>
            </w:pPr>
            <w:r>
              <w:rPr/>
              <w:t>(520,821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4,079,707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pPr>
            <w:r>
              <w:rPr/>
              <w:t>12,539,960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10" w:space="0" w:color="000000"/>
            </w:tcBorders>
            <w:shd w:fill="FFFFFF" w:val="clear"/>
            <w:tcMar>
              <w:bottom w:w="28" w:type="dxa"/>
            </w:tcMar>
            <w:vAlign w:val="center"/>
          </w:tcPr>
          <w:p>
            <w:pPr>
              <w:pStyle w:val="TableContents"/>
              <w:bidi w:val="0"/>
              <w:spacing w:before="0" w:after="283"/>
              <w:jc w:val="right"/>
              <w:rPr/>
            </w:pPr>
            <w:r>
              <w:rPr/>
              <w:t>(1,520,821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15,098,846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4,079,707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9" w:type="dxa"/>
            <w:tcBorders>
              <w:bottom w:val="double" w:sz="10" w:space="0" w:color="000000"/>
            </w:tcBorders>
            <w:shd w:fill="FFFFFF" w:val="clear"/>
            <w:tcMar>
              <w:bottom w:w="28" w:type="dxa"/>
            </w:tcMar>
            <w:vAlign w:val="center"/>
          </w:tcPr>
          <w:p>
            <w:pPr>
              <w:pStyle w:val="TableContents"/>
              <w:bidi w:val="0"/>
              <w:spacing w:before="0" w:after="283"/>
              <w:jc w:val="right"/>
              <w:rPr/>
            </w:pPr>
            <w:r>
              <w:rPr/>
              <w:t>12,539,960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091" w:type="dxa"/>
            <w:tcBorders>
              <w:bottom w:val="double" w:sz="10" w:space="0" w:color="000000"/>
            </w:tcBorders>
            <w:shd w:fill="FFFFFF" w:val="clear"/>
            <w:tcMar>
              <w:bottom w:w="28" w:type="dxa"/>
            </w:tcMar>
            <w:vAlign w:val="center"/>
          </w:tcPr>
          <w:p>
            <w:pPr>
              <w:pStyle w:val="TableContents"/>
              <w:bidi w:val="0"/>
              <w:spacing w:before="0" w:after="283"/>
              <w:jc w:val="right"/>
              <w:rPr/>
            </w:pPr>
            <w:r>
              <w:rPr/>
              <w:t>(1,520,821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15,098,846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45"/>
        <w:gridCol w:w="60"/>
        <w:gridCol w:w="506"/>
        <w:gridCol w:w="943"/>
        <w:gridCol w:w="60"/>
        <w:gridCol w:w="60"/>
        <w:gridCol w:w="168"/>
        <w:gridCol w:w="1281"/>
        <w:gridCol w:w="95"/>
        <w:gridCol w:w="60"/>
        <w:gridCol w:w="180"/>
        <w:gridCol w:w="1269"/>
        <w:gridCol w:w="78"/>
      </w:tblGrid>
      <w:tr>
        <w:trPr/>
        <w:tc>
          <w:tcPr>
            <w:tcW w:w="5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78" w:type="dxa"/>
            <w:tcBorders/>
            <w:vAlign w:val="center"/>
          </w:tcPr>
          <w:p>
            <w:pPr>
              <w:pStyle w:val="TableContents"/>
              <w:bidi w:val="0"/>
              <w:spacing w:before="0" w:after="283"/>
              <w:jc w:val="left"/>
              <w:rPr/>
            </w:pPr>
            <w:r>
              <w:rPr/>
              <w:t> </w:t>
            </w:r>
          </w:p>
        </w:tc>
      </w:tr>
      <w:tr>
        <w:trPr/>
        <w:tc>
          <w:tcPr>
            <w:tcW w:w="54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Upward adjustments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94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w:t>
            </w:r>
          </w:p>
        </w:tc>
        <w:tc>
          <w:tcPr>
            <w:tcW w:w="12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69" w:type="dxa"/>
            <w:tcBorders/>
            <w:shd w:fill="CCEEFF" w:val="clear"/>
            <w:vAlign w:val="center"/>
          </w:tcPr>
          <w:p>
            <w:pPr>
              <w:pStyle w:val="TableContents"/>
              <w:bidi w:val="0"/>
              <w:spacing w:before="0" w:after="283"/>
              <w:jc w:val="right"/>
              <w:rPr/>
            </w:pPr>
            <w:r>
              <w:rPr/>
              <w:t>6,431,088</w:t>
            </w:r>
          </w:p>
        </w:tc>
        <w:tc>
          <w:tcPr>
            <w:tcW w:w="78" w:type="dxa"/>
            <w:tcBorders/>
            <w:shd w:fill="CCEEFF" w:val="clear"/>
            <w:vAlign w:val="center"/>
          </w:tcPr>
          <w:p>
            <w:pPr>
              <w:pStyle w:val="TableContents"/>
              <w:bidi w:val="0"/>
              <w:spacing w:before="0" w:after="283"/>
              <w:jc w:val="left"/>
              <w:rPr/>
            </w:pPr>
            <w:r>
              <w:rPr/>
              <w:t> </w:t>
            </w:r>
          </w:p>
        </w:tc>
      </w:tr>
      <w:tr>
        <w:trPr/>
        <w:tc>
          <w:tcPr>
            <w:tcW w:w="54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Impairment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1" w:type="dxa"/>
            <w:tcBorders>
              <w:bottom w:val="single" w:sz="12" w:space="0" w:color="000000"/>
            </w:tcBorders>
            <w:shd w:fill="FFFFFF" w:val="clear"/>
            <w:tcMar>
              <w:bottom w:w="28" w:type="dxa"/>
            </w:tcMar>
            <w:vAlign w:val="center"/>
          </w:tcPr>
          <w:p>
            <w:pPr>
              <w:pStyle w:val="TableContents"/>
              <w:bidi w:val="0"/>
              <w:spacing w:before="0" w:after="283"/>
              <w:jc w:val="right"/>
              <w:rPr/>
            </w:pPr>
            <w:r>
              <w:rPr/>
              <w:t>(1,000,000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5445" w:type="dxa"/>
            <w:tcBorders/>
            <w:shd w:fill="CCEEFF" w:val="clear"/>
            <w:vAlign w:val="center"/>
          </w:tcPr>
          <w:p>
            <w:pPr>
              <w:pStyle w:val="TableContents"/>
              <w:bidi w:val="0"/>
              <w:spacing w:before="0" w:after="283"/>
              <w:jc w:val="left"/>
              <w:rPr/>
            </w:pPr>
            <w:r>
              <w:rPr/>
              <w:t>Total unrealized (loss) gain from fair value change of non-marketable investments, net</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4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81" w:type="dxa"/>
            <w:tcBorders>
              <w:bottom w:val="double" w:sz="10" w:space="0" w:color="000000"/>
            </w:tcBorders>
            <w:shd w:fill="CCEEFF" w:val="clear"/>
            <w:tcMar>
              <w:bottom w:w="28" w:type="dxa"/>
            </w:tcMar>
            <w:vAlign w:val="center"/>
          </w:tcPr>
          <w:p>
            <w:pPr>
              <w:pStyle w:val="TableContents"/>
              <w:bidi w:val="0"/>
              <w:spacing w:before="0" w:after="283"/>
              <w:jc w:val="right"/>
              <w:rPr/>
            </w:pPr>
            <w:r>
              <w:rPr/>
              <w:t>(1,000,000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6,431,088</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283"/>
              <w:jc w:val="both"/>
              <w:rPr/>
            </w:pPr>
            <w:r>
              <w:rPr/>
              <w:t>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LONG-TERM INVESTMENT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this investment was pledged for a convertible note issued to a related party (Note 15).</w:t>
      </w:r>
    </w:p>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283"/>
              <w:jc w:val="both"/>
              <w:rPr/>
            </w:pPr>
            <w:r>
              <w:rPr/>
              <w:t>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did not sell or transfer any non-marketable investments or record any realized gains or losses for the non-marketable investments measured at fair value on a non-recurring basis during the years ended December 31, 2025, 2024 and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method investment, fair value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2023, the Group made a decision to streamline its operations by terminating clinic services and suspending non-lead R&amp;D projects. No revenue was generated for the year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all revenue came from provision of healthcare services in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OTHER RECEIVABLES AND PREPAYMENTS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and prepayments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5023" w:type="dxa"/>
        <w:jc w:val="left"/>
        <w:tblInd w:w="0" w:type="dxa"/>
        <w:tblLayout w:type="fixed"/>
        <w:tblCellMar>
          <w:top w:w="0" w:type="dxa"/>
          <w:left w:w="0" w:type="dxa"/>
          <w:bottom w:w="0" w:type="dxa"/>
          <w:right w:w="0" w:type="dxa"/>
        </w:tblCellMar>
      </w:tblPr>
      <w:tblGrid>
        <w:gridCol w:w="1820"/>
        <w:gridCol w:w="60"/>
        <w:gridCol w:w="218"/>
        <w:gridCol w:w="1256"/>
        <w:gridCol w:w="60"/>
        <w:gridCol w:w="60"/>
        <w:gridCol w:w="251"/>
        <w:gridCol w:w="1223"/>
        <w:gridCol w:w="75"/>
      </w:tblGrid>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17,490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17,794</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Prepaid service fee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44,810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50,538</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Rental deposits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71,823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4,206</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4,545</w:t>
            </w:r>
          </w:p>
        </w:tc>
        <w:tc>
          <w:tcPr>
            <w:tcW w:w="75" w:type="dxa"/>
            <w:tcBorders/>
            <w:shd w:fill="FFFFFF" w:val="clear"/>
            <w:vAlign w:val="center"/>
          </w:tcPr>
          <w:p>
            <w:pPr>
              <w:pStyle w:val="TableContents"/>
              <w:bidi w:val="0"/>
              <w:spacing w:before="0" w:after="283"/>
              <w:jc w:val="left"/>
              <w:rPr/>
            </w:pPr>
            <w:r>
              <w:rPr/>
              <w:t> </w:t>
            </w:r>
          </w:p>
        </w:tc>
      </w:tr>
      <w:tr>
        <w:trPr/>
        <w:tc>
          <w:tcPr>
            <w:tcW w:w="1820" w:type="dxa"/>
            <w:tcBorders/>
            <w:shd w:fill="CCEEFF" w:val="clear"/>
            <w:vAlign w:val="center"/>
          </w:tcPr>
          <w:p>
            <w:pPr>
              <w:pStyle w:val="TableContents"/>
              <w:bidi w:val="0"/>
              <w:spacing w:before="0" w:after="283"/>
              <w:jc w:val="left"/>
              <w:rPr/>
            </w:pPr>
            <w:r>
              <w:rPr/>
              <w:t>Other deposits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5,510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8,233</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139,633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85,316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considered certain other receivables and prepayments were not recoverable and recorded write-off of other receivables and prepayments of $nil, $45,677 and $62,369,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8158" w:type="dxa"/>
        <w:jc w:val="left"/>
        <w:tblInd w:w="0" w:type="dxa"/>
        <w:tblLayout w:type="fixed"/>
        <w:tblCellMar>
          <w:top w:w="0" w:type="dxa"/>
          <w:left w:w="0" w:type="dxa"/>
          <w:bottom w:w="0" w:type="dxa"/>
          <w:right w:w="0" w:type="dxa"/>
        </w:tblCellMar>
      </w:tblPr>
      <w:tblGrid>
        <w:gridCol w:w="4955"/>
        <w:gridCol w:w="60"/>
        <w:gridCol w:w="183"/>
        <w:gridCol w:w="1291"/>
        <w:gridCol w:w="60"/>
        <w:gridCol w:w="60"/>
        <w:gridCol w:w="183"/>
        <w:gridCol w:w="1291"/>
        <w:gridCol w:w="75"/>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69,291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69,291</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Furniture, fixture, and office and medical equipment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32,435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32,435</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108,187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right"/>
              <w:rPr/>
            </w:pPr>
            <w:r>
              <w:rPr/>
              <w:t>108,187</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4,335,722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4,335,722</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Motor vehicle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239,093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239,093</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4,784,728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4,784,728</w:t>
            </w:r>
          </w:p>
        </w:tc>
        <w:tc>
          <w:tcPr>
            <w:tcW w:w="7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4,784,728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4,784,728</w:t>
            </w:r>
          </w:p>
        </w:tc>
        <w:tc>
          <w:tcPr>
            <w:tcW w:w="7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for property, plant and equipment amounted to $nil, $235,827 and $1,041,234 for the years ended December 31, 2025, 2024 and 2023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no impairment loss was recorded.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INTANGIBLE ASSETS, NET</w:t>
      </w:r>
    </w:p>
    <w:p>
      <w:pPr>
        <w:pStyle w:val="TextBody"/>
        <w:bidi w:val="0"/>
        <w:spacing w:before="0" w:after="0"/>
        <w:ind w:left="0" w:right="0" w:hanging="0"/>
        <w:jc w:val="both"/>
        <w:rPr>
          <w:caps w:val="false"/>
          <w:smallCaps w:val="false"/>
        </w:rPr>
      </w:pPr>
      <w:r>
        <w:rPr>
          <w:caps w:val="false"/>
          <w:smallCaps w:val="false"/>
        </w:rPr>
        <w:t> </w:t>
      </w:r>
    </w:p>
    <w:tbl>
      <w:tblPr>
        <w:tblW w:w="6208" w:type="dxa"/>
        <w:jc w:val="left"/>
        <w:tblInd w:w="0" w:type="dxa"/>
        <w:tblLayout w:type="fixed"/>
        <w:tblCellMar>
          <w:top w:w="0" w:type="dxa"/>
          <w:left w:w="0" w:type="dxa"/>
          <w:bottom w:w="0" w:type="dxa"/>
          <w:right w:w="0" w:type="dxa"/>
        </w:tblCellMar>
      </w:tblPr>
      <w:tblGrid>
        <w:gridCol w:w="3005"/>
        <w:gridCol w:w="60"/>
        <w:gridCol w:w="218"/>
        <w:gridCol w:w="1256"/>
        <w:gridCol w:w="60"/>
        <w:gridCol w:w="60"/>
        <w:gridCol w:w="218"/>
        <w:gridCol w:w="1256"/>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Gross carrying amount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Prepaid patented licenses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Computer software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Prepaid patented licenses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200,000</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Computer software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223,858</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423,858</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Prepaid patented licenses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Computer software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patented licenses and computer software are finite-lived intangible assets which are amortized over their estimated useful life. Amortization expenses for finite-lived intangible assets amounted to $nil and $19,219 for the year ended December 31, 2025 and 2024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Group terminated two of the licenses. For the year ended December 31, 2024, the Group terminated four of the licenses. For the year ended December 31, 2025, the Group terminated 5 of the 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does not expect any amortization expense related to its finite-lived intangible assets for the next five years and thereafter to be as follows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LONG-TERM DEPOSITS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deposits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1475"/>
        <w:gridCol w:w="60"/>
        <w:gridCol w:w="515"/>
        <w:gridCol w:w="959"/>
        <w:gridCol w:w="60"/>
        <w:gridCol w:w="60"/>
        <w:gridCol w:w="251"/>
        <w:gridCol w:w="1223"/>
        <w:gridCol w:w="7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Rental deposits</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71,823</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71,823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ACCOUNTS PAYABLE AND ACCRUED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as of December 31, 2025 and 2024 consisted of:</w:t>
      </w:r>
    </w:p>
    <w:p>
      <w:pPr>
        <w:pStyle w:val="TextBody"/>
        <w:bidi w:val="0"/>
        <w:spacing w:before="0" w:after="0"/>
        <w:ind w:left="0" w:right="0" w:firstLine="360"/>
        <w:jc w:val="both"/>
        <w:rPr>
          <w:caps w:val="false"/>
          <w:smallCaps w:val="false"/>
        </w:rPr>
      </w:pPr>
      <w:r>
        <w:rPr>
          <w:caps w:val="false"/>
          <w:smallCaps w:val="false"/>
        </w:rPr>
        <w:t> </w:t>
      </w:r>
    </w:p>
    <w:tbl>
      <w:tblPr>
        <w:tblW w:w="7498" w:type="dxa"/>
        <w:jc w:val="left"/>
        <w:tblInd w:w="0" w:type="dxa"/>
        <w:tblLayout w:type="fixed"/>
        <w:tblCellMar>
          <w:top w:w="0" w:type="dxa"/>
          <w:left w:w="0" w:type="dxa"/>
          <w:bottom w:w="0" w:type="dxa"/>
          <w:right w:w="0" w:type="dxa"/>
        </w:tblCellMar>
      </w:tblPr>
      <w:tblGrid>
        <w:gridCol w:w="4295"/>
        <w:gridCol w:w="60"/>
        <w:gridCol w:w="183"/>
        <w:gridCol w:w="1291"/>
        <w:gridCol w:w="60"/>
        <w:gridCol w:w="60"/>
        <w:gridCol w:w="218"/>
        <w:gridCol w:w="1256"/>
        <w:gridCol w:w="75"/>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Research and development expenses payable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830,189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1256" w:type="dxa"/>
            <w:tcBorders/>
            <w:shd w:fill="CCEEFF" w:val="clear"/>
            <w:vAlign w:val="center"/>
          </w:tcPr>
          <w:p>
            <w:pPr>
              <w:pStyle w:val="TableContents"/>
              <w:bidi w:val="0"/>
              <w:spacing w:before="0" w:after="283"/>
              <w:jc w:val="right"/>
              <w:rPr/>
            </w:pPr>
            <w:r>
              <w:rPr/>
              <w:t>778,205</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Professional fees payable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185,247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127,031</w:t>
            </w:r>
          </w:p>
        </w:tc>
        <w:tc>
          <w:tcPr>
            <w:tcW w:w="75"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56,279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13,375</w:t>
            </w:r>
          </w:p>
        </w:tc>
        <w:tc>
          <w:tcPr>
            <w:tcW w:w="75"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1,071,715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918,611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file tax returns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under the current laws of the Cayman Islands, the Company and its subsidiaries in the Cayman Islands are not subject to taxes on their income and capital gains.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Income/(loss) before income tax expense is attributable to the following geographic locations:</w:t>
      </w:r>
    </w:p>
    <w:p>
      <w:pPr>
        <w:pStyle w:val="TextBody"/>
        <w:bidi w:val="0"/>
        <w:spacing w:before="0" w:after="0"/>
        <w:ind w:left="0" w:right="0" w:firstLine="360"/>
        <w:jc w:val="both"/>
        <w:rPr>
          <w:caps w:val="false"/>
          <w:smallCaps w:val="false"/>
        </w:rPr>
      </w:pPr>
      <w:r>
        <w:rPr>
          <w:caps w:val="false"/>
          <w:smallCaps w:val="false"/>
        </w:rPr>
        <w:t> </w:t>
      </w:r>
    </w:p>
    <w:tbl>
      <w:tblPr>
        <w:tblW w:w="7967" w:type="dxa"/>
        <w:jc w:val="left"/>
        <w:tblInd w:w="0" w:type="dxa"/>
        <w:tblLayout w:type="fixed"/>
        <w:tblCellMar>
          <w:top w:w="0" w:type="dxa"/>
          <w:left w:w="0" w:type="dxa"/>
          <w:bottom w:w="0" w:type="dxa"/>
          <w:right w:w="0" w:type="dxa"/>
        </w:tblCellMar>
      </w:tblPr>
      <w:tblGrid>
        <w:gridCol w:w="3065"/>
        <w:gridCol w:w="60"/>
        <w:gridCol w:w="171"/>
        <w:gridCol w:w="1303"/>
        <w:gridCol w:w="95"/>
        <w:gridCol w:w="60"/>
        <w:gridCol w:w="171"/>
        <w:gridCol w:w="1303"/>
        <w:gridCol w:w="95"/>
        <w:gridCol w:w="60"/>
        <w:gridCol w:w="172"/>
        <w:gridCol w:w="1302"/>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(1,409,614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1303" w:type="dxa"/>
            <w:tcBorders/>
            <w:shd w:fill="CCEEFF" w:val="clear"/>
            <w:vAlign w:val="center"/>
          </w:tcPr>
          <w:p>
            <w:pPr>
              <w:pStyle w:val="TableContents"/>
              <w:bidi w:val="0"/>
              <w:spacing w:before="0" w:after="283"/>
              <w:jc w:val="right"/>
              <w:rPr/>
            </w:pPr>
            <w:r>
              <w:rPr/>
              <w:t>(3,944,692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302" w:type="dxa"/>
            <w:tcBorders/>
            <w:shd w:fill="CCEEFF" w:val="clear"/>
            <w:vAlign w:val="center"/>
          </w:tcPr>
          <w:p>
            <w:pPr>
              <w:pStyle w:val="TableContents"/>
              <w:bidi w:val="0"/>
              <w:spacing w:before="0" w:after="283"/>
              <w:jc w:val="right"/>
              <w:rPr/>
            </w:pPr>
            <w:r>
              <w:rPr/>
              <w:t>(1,297,897</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111,972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(252,611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(2,956,296</w:t>
            </w:r>
          </w:p>
        </w:tc>
        <w:tc>
          <w:tcPr>
            <w:tcW w:w="110" w:type="dxa"/>
            <w:tcBorders/>
            <w:shd w:fill="FFFFFF" w:val="clear"/>
            <w:vAlign w:val="center"/>
          </w:tcPr>
          <w:p>
            <w:pPr>
              <w:pStyle w:val="TableContents"/>
              <w:bidi w:val="0"/>
              <w:spacing w:before="0" w:after="283"/>
              <w:jc w:val="left"/>
              <w:rPr/>
            </w:pPr>
            <w:r>
              <w:rPr/>
              <w:t>)</w:t>
            </w:r>
          </w:p>
        </w:tc>
      </w:tr>
      <w:tr>
        <w:trPr/>
        <w:tc>
          <w:tcPr>
            <w:tcW w:w="3065" w:type="dxa"/>
            <w:tcBorders/>
            <w:shd w:fill="CCEEFF" w:val="clear"/>
            <w:vAlign w:val="center"/>
          </w:tcPr>
          <w:p>
            <w:pPr>
              <w:pStyle w:val="TableContents"/>
              <w:bidi w:val="0"/>
              <w:spacing w:before="0" w:after="283"/>
              <w:jc w:val="left"/>
              <w:rPr/>
            </w:pPr>
            <w:r>
              <w:rPr/>
              <w:t>Other jurisdictions</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(78,788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single" w:sz="12" w:space="0" w:color="000000"/>
            </w:tcBorders>
            <w:shd w:fill="CCEEFF" w:val="clear"/>
            <w:tcMar>
              <w:bottom w:w="28" w:type="dxa"/>
            </w:tcMar>
            <w:vAlign w:val="center"/>
          </w:tcPr>
          <w:p>
            <w:pPr>
              <w:pStyle w:val="TableContents"/>
              <w:bidi w:val="0"/>
              <w:spacing w:before="0" w:after="283"/>
              <w:jc w:val="right"/>
              <w:rPr/>
            </w:pPr>
            <w:r>
              <w:rPr/>
              <w:t>39,566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pPr>
            <w:r>
              <w:rPr/>
              <w:t>(86,782</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Loss before income tax expense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(1,376,430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(4,157,737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double" w:sz="10" w:space="0" w:color="000000"/>
            </w:tcBorders>
            <w:shd w:fill="FFFFFF" w:val="clear"/>
            <w:tcMar>
              <w:bottom w:w="28" w:type="dxa"/>
            </w:tcMar>
            <w:vAlign w:val="center"/>
          </w:tcPr>
          <w:p>
            <w:pPr>
              <w:pStyle w:val="TableContents"/>
              <w:bidi w:val="0"/>
              <w:spacing w:before="0" w:after="283"/>
              <w:jc w:val="right"/>
              <w:rPr/>
            </w:pPr>
            <w:r>
              <w:rPr/>
              <w:t>(4,340,975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2024 and 2023, there was no current income tax expense and deferred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income taxes expenses computed at the Hong Kong statutory tax rate applicable to income tax expense is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04"/>
        <w:gridCol w:w="60"/>
        <w:gridCol w:w="165"/>
        <w:gridCol w:w="1258"/>
        <w:gridCol w:w="215"/>
        <w:gridCol w:w="60"/>
        <w:gridCol w:w="60"/>
        <w:gridCol w:w="515"/>
        <w:gridCol w:w="227"/>
        <w:gridCol w:w="60"/>
        <w:gridCol w:w="165"/>
        <w:gridCol w:w="1258"/>
        <w:gridCol w:w="215"/>
        <w:gridCol w:w="60"/>
        <w:gridCol w:w="60"/>
        <w:gridCol w:w="515"/>
        <w:gridCol w:w="227"/>
        <w:gridCol w:w="60"/>
        <w:gridCol w:w="165"/>
        <w:gridCol w:w="1258"/>
        <w:gridCol w:w="215"/>
        <w:gridCol w:w="60"/>
        <w:gridCol w:w="60"/>
        <w:gridCol w:w="515"/>
        <w:gridCol w:w="248"/>
      </w:tblGrid>
      <w:tr>
        <w:trPr/>
        <w:tc>
          <w:tcPr>
            <w:tcW w:w="25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gridSpan w:val="2"/>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 </w:t>
            </w:r>
          </w:p>
        </w:tc>
      </w:tr>
      <w:tr>
        <w:trPr/>
        <w:tc>
          <w:tcPr>
            <w:tcW w:w="2504" w:type="dxa"/>
            <w:tcBorders/>
            <w:shd w:fill="CCEEFF" w:val="clear"/>
            <w:vAlign w:val="center"/>
          </w:tcPr>
          <w:p>
            <w:pPr>
              <w:pStyle w:val="TableContents"/>
              <w:bidi w:val="0"/>
              <w:spacing w:before="0" w:after="283"/>
              <w:jc w:val="left"/>
              <w:rPr/>
            </w:pPr>
            <w:r>
              <w:rPr/>
              <w:t>Net loss before tax</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(1,376,430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(4,157,737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(4,340,975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100</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Hongkong statutory income tax rate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ind w:left="0" w:right="0" w:hanging="180"/>
              <w:jc w:val="left"/>
              <w:rPr/>
            </w:pPr>
            <w:r>
              <w:rPr/>
              <w:t> </w:t>
            </w:r>
          </w:p>
        </w:tc>
      </w:tr>
      <w:tr>
        <w:trPr/>
        <w:tc>
          <w:tcPr>
            <w:tcW w:w="2504" w:type="dxa"/>
            <w:tcBorders/>
            <w:shd w:fill="CCEEFF" w:val="clear"/>
            <w:vAlign w:val="center"/>
          </w:tcPr>
          <w:p>
            <w:pPr>
              <w:pStyle w:val="TableContents"/>
              <w:bidi w:val="0"/>
              <w:spacing w:before="0" w:after="283"/>
              <w:jc w:val="left"/>
              <w:rPr/>
            </w:pPr>
            <w:r>
              <w:rPr/>
              <w:t>Provision for income tax benefit at Hong Kong statutory income tax rate (16.5%)</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(227,110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16.5</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(686,027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16.5</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(716,261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16.5</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Domestic tax effects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r>
      <w:tr>
        <w:trPr/>
        <w:tc>
          <w:tcPr>
            <w:tcW w:w="2504" w:type="dxa"/>
            <w:tcBorders/>
            <w:shd w:fill="CCEEFF" w:val="clear"/>
            <w:vAlign w:val="center"/>
          </w:tcPr>
          <w:p>
            <w:pPr>
              <w:pStyle w:val="TableContents"/>
              <w:bidi w:val="0"/>
              <w:spacing w:before="0" w:after="283"/>
              <w:jc w:val="left"/>
              <w:rPr/>
            </w:pPr>
            <w:r>
              <w:rPr/>
              <w:t>Non-taxable interest income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(13,907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(5,477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(1,071,774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24.7</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Non-deductible expenses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0.0</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98,704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(2.3</w:t>
            </w:r>
          </w:p>
        </w:tc>
        <w:tc>
          <w:tcPr>
            <w:tcW w:w="248" w:type="dxa"/>
            <w:tcBorders/>
            <w:shd w:fill="FFFFFF" w:val="clear"/>
            <w:vAlign w:val="center"/>
          </w:tcPr>
          <w:p>
            <w:pPr>
              <w:pStyle w:val="TableContents"/>
              <w:bidi w:val="0"/>
              <w:spacing w:before="0" w:after="283"/>
              <w:jc w:val="left"/>
              <w:rPr/>
            </w:pPr>
            <w:r>
              <w:rPr/>
              <w:t>)%</w:t>
            </w:r>
          </w:p>
        </w:tc>
      </w:tr>
      <w:tr>
        <w:trPr/>
        <w:tc>
          <w:tcPr>
            <w:tcW w:w="2504"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223,918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(16.3</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702,123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(16.9</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1,705,603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(39.3</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Foreign tax effects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r>
      <w:tr>
        <w:trPr/>
        <w:tc>
          <w:tcPr>
            <w:tcW w:w="2504" w:type="dxa"/>
            <w:tcBorders/>
            <w:shd w:fill="CCEEFF" w:val="clear"/>
            <w:vAlign w:val="center"/>
          </w:tcPr>
          <w:p>
            <w:pPr>
              <w:pStyle w:val="TableContents"/>
              <w:bidi w:val="0"/>
              <w:spacing w:before="0" w:after="283"/>
              <w:jc w:val="left"/>
              <w:rPr/>
            </w:pPr>
            <w:r>
              <w:rPr/>
              <w:t>Cayman</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ind w:left="0" w:right="0" w:hanging="180"/>
              <w:jc w:val="left"/>
              <w:rPr/>
            </w:pPr>
            <w:r>
              <w:rPr/>
              <w:t> </w:t>
            </w:r>
          </w:p>
        </w:tc>
      </w:tr>
      <w:tr>
        <w:trPr/>
        <w:tc>
          <w:tcPr>
            <w:tcW w:w="2504" w:type="dxa"/>
            <w:tcBorders/>
            <w:shd w:fill="FFFFFF" w:val="clear"/>
            <w:vAlign w:val="center"/>
          </w:tcPr>
          <w:p>
            <w:pPr>
              <w:pStyle w:val="TableContents"/>
              <w:bidi w:val="0"/>
              <w:spacing w:before="0" w:after="283"/>
              <w:jc w:val="left"/>
              <w:rPr/>
            </w:pPr>
            <w:r>
              <w:rPr/>
              <w:t>– </w:t>
            </w:r>
            <w:r>
              <w:rPr/>
              <w:t>Statutory tax rate di&amp;fflig;erence between Cayman and Hong Kong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16,128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(1.2</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(9,191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0.2</w:t>
            </w:r>
          </w:p>
        </w:tc>
        <w:tc>
          <w:tcPr>
            <w:tcW w:w="22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(5,078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0.1</w:t>
            </w:r>
          </w:p>
        </w:tc>
        <w:tc>
          <w:tcPr>
            <w:tcW w:w="248" w:type="dxa"/>
            <w:tcBorders/>
            <w:shd w:fill="FFFFFF" w:val="clear"/>
            <w:vAlign w:val="center"/>
          </w:tcPr>
          <w:p>
            <w:pPr>
              <w:pStyle w:val="TableContents"/>
              <w:bidi w:val="0"/>
              <w:spacing w:before="0" w:after="283"/>
              <w:jc w:val="left"/>
              <w:rPr/>
            </w:pPr>
            <w:r>
              <w:rPr/>
              <w:t>%</w:t>
            </w:r>
          </w:p>
        </w:tc>
      </w:tr>
      <w:tr>
        <w:trPr/>
        <w:tc>
          <w:tcPr>
            <w:tcW w:w="2504" w:type="dxa"/>
            <w:tcBorders/>
            <w:shd w:fill="CCEEFF" w:val="clear"/>
            <w:vAlign w:val="center"/>
          </w:tcPr>
          <w:p>
            <w:pPr>
              <w:pStyle w:val="TableContents"/>
              <w:bidi w:val="0"/>
              <w:spacing w:before="0" w:after="283"/>
              <w:jc w:val="left"/>
              <w:rPr/>
            </w:pPr>
            <w:r>
              <w:rPr/>
              <w:t>Other foreign jurisdictions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917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0.0</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(1,623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0.1</w:t>
            </w:r>
          </w:p>
        </w:tc>
        <w:tc>
          <w:tcPr>
            <w:tcW w:w="227"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12" w:space="0" w:color="000000"/>
            </w:tcBorders>
            <w:shd w:fill="CCEEFF" w:val="clear"/>
            <w:tcMar>
              <w:bottom w:w="28" w:type="dxa"/>
            </w:tcMar>
            <w:vAlign w:val="center"/>
          </w:tcPr>
          <w:p>
            <w:pPr>
              <w:pStyle w:val="TableContents"/>
              <w:bidi w:val="0"/>
              <w:spacing w:before="0" w:after="283"/>
              <w:jc w:val="right"/>
              <w:rPr/>
            </w:pPr>
            <w:r>
              <w:rPr/>
              <w:t>(11,185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pPr>
            <w:r>
              <w:rPr/>
              <w:t>0.3</w:t>
            </w:r>
          </w:p>
        </w:tc>
        <w:tc>
          <w:tcPr>
            <w:tcW w:w="248" w:type="dxa"/>
            <w:tcBorders/>
            <w:shd w:fill="CCEEFF" w:val="clear"/>
            <w:vAlign w:val="center"/>
          </w:tcPr>
          <w:p>
            <w:pPr>
              <w:pStyle w:val="TableContents"/>
              <w:bidi w:val="0"/>
              <w:spacing w:before="0" w:after="283"/>
              <w:jc w:val="left"/>
              <w:rPr/>
            </w:pPr>
            <w:r>
              <w:rPr/>
              <w:t>%</w:t>
            </w:r>
          </w:p>
        </w:tc>
      </w:tr>
      <w:tr>
        <w:trPr/>
        <w:tc>
          <w:tcPr>
            <w:tcW w:w="2504" w:type="dxa"/>
            <w:tcBorders/>
            <w:shd w:fill="FFFFFF" w:val="clear"/>
            <w:vAlign w:val="center"/>
          </w:tcPr>
          <w:p>
            <w:pPr>
              <w:pStyle w:val="TableContents"/>
              <w:bidi w:val="0"/>
              <w:spacing w:before="0" w:after="283"/>
              <w:jc w:val="left"/>
              <w:rPr/>
            </w:pPr>
            <w:r>
              <w:rPr/>
              <w:t>Effective income tax expense</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right"/>
              <w:rPr/>
            </w:pPr>
            <w:r>
              <w:rPr/>
              <w:t>—</w:t>
            </w:r>
          </w:p>
        </w:tc>
        <w:tc>
          <w:tcPr>
            <w:tcW w:w="24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by jurisdiction is as follows:</w:t>
      </w:r>
    </w:p>
    <w:p>
      <w:pPr>
        <w:pStyle w:val="TextBody"/>
        <w:bidi w:val="0"/>
        <w:spacing w:before="0" w:after="0"/>
        <w:ind w:left="0" w:right="0" w:firstLine="360"/>
        <w:jc w:val="both"/>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2285"/>
        <w:gridCol w:w="60"/>
        <w:gridCol w:w="140"/>
        <w:gridCol w:w="1220"/>
        <w:gridCol w:w="60"/>
        <w:gridCol w:w="60"/>
        <w:gridCol w:w="140"/>
        <w:gridCol w:w="1220"/>
        <w:gridCol w:w="60"/>
        <w:gridCol w:w="60"/>
        <w:gridCol w:w="60"/>
        <w:gridCol w:w="1220"/>
        <w:gridCol w:w="75"/>
      </w:tblGrid>
      <w:tr>
        <w:trPr/>
        <w:tc>
          <w:tcPr>
            <w:tcW w:w="22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2024</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center"/>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Year ended </w:t>
              <w:br/>
              <w:t xml:space="preserve">December 31, </w:t>
              <w:br/>
              <w:t>2023</w:t>
            </w:r>
          </w:p>
        </w:tc>
        <w:tc>
          <w:tcPr>
            <w:tcW w:w="75" w:type="dxa"/>
            <w:tcBorders/>
            <w:shd w:fill="FFFFFF" w:val="clear"/>
            <w:vAlign w:val="center"/>
          </w:tcPr>
          <w:p>
            <w:pPr>
              <w:pStyle w:val="TableContents"/>
              <w:bidi w:val="0"/>
              <w:spacing w:before="0" w:after="283"/>
              <w:jc w:val="center"/>
              <w:rPr/>
            </w:pPr>
            <w:r>
              <w:rPr/>
              <w:t> </w:t>
            </w:r>
          </w:p>
        </w:tc>
      </w:tr>
      <w:tr>
        <w:trPr/>
        <w:tc>
          <w:tcPr>
            <w:tcW w:w="228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283"/>
              <w:jc w:val="left"/>
              <w:rPr/>
            </w:pPr>
            <w:r>
              <w:rPr/>
              <w:t>Other jurisdictions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shd w:fill="FFFFFF" w:val="clear"/>
            <w:vAlign w:val="center"/>
          </w:tcPr>
          <w:p>
            <w:pPr>
              <w:pStyle w:val="TableContents"/>
              <w:bidi w:val="0"/>
              <w:spacing w:before="0" w:after="283"/>
              <w:jc w:val="left"/>
              <w:rPr/>
            </w:pPr>
            <w:r>
              <w:rPr/>
              <w:t>Total income taxes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Deferred tax asset,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w:t>
      </w:r>
    </w:p>
    <w:p>
      <w:pPr>
        <w:pStyle w:val="TextBody"/>
        <w:bidi w:val="0"/>
        <w:spacing w:before="0" w:after="0"/>
        <w:ind w:left="0" w:right="0" w:firstLine="360"/>
        <w:jc w:val="both"/>
        <w:rPr>
          <w:caps w:val="false"/>
          <w:smallCaps w:val="false"/>
        </w:rPr>
      </w:pPr>
      <w:r>
        <w:rPr>
          <w:caps w:val="false"/>
          <w:smallCaps w:val="false"/>
        </w:rPr>
        <w:t> </w:t>
      </w:r>
    </w:p>
    <w:tbl>
      <w:tblPr>
        <w:tblW w:w="7613" w:type="dxa"/>
        <w:jc w:val="left"/>
        <w:tblInd w:w="0" w:type="dxa"/>
        <w:tblLayout w:type="fixed"/>
        <w:tblCellMar>
          <w:top w:w="0" w:type="dxa"/>
          <w:left w:w="0" w:type="dxa"/>
          <w:bottom w:w="0" w:type="dxa"/>
          <w:right w:w="0" w:type="dxa"/>
        </w:tblCellMar>
      </w:tblPr>
      <w:tblGrid>
        <w:gridCol w:w="4340"/>
        <w:gridCol w:w="60"/>
        <w:gridCol w:w="156"/>
        <w:gridCol w:w="1318"/>
        <w:gridCol w:w="95"/>
        <w:gridCol w:w="60"/>
        <w:gridCol w:w="156"/>
        <w:gridCol w:w="1318"/>
        <w:gridCol w:w="110"/>
      </w:tblGrid>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Deferred tax asset: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Net operating losses carryforwards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15,365,786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318" w:type="dxa"/>
            <w:tcBorders/>
            <w:shd w:fill="CCEEFF" w:val="clear"/>
            <w:vAlign w:val="center"/>
          </w:tcPr>
          <w:p>
            <w:pPr>
              <w:pStyle w:val="TableContents"/>
              <w:bidi w:val="0"/>
              <w:spacing w:before="0" w:after="283"/>
              <w:jc w:val="right"/>
              <w:rPr/>
            </w:pPr>
            <w:r>
              <w:rPr/>
              <w:t>15,107,318</w:t>
            </w:r>
          </w:p>
        </w:tc>
        <w:tc>
          <w:tcPr>
            <w:tcW w:w="11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86,843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318" w:type="dxa"/>
            <w:tcBorders/>
            <w:shd w:fill="FFFFFF" w:val="clear"/>
            <w:vAlign w:val="center"/>
          </w:tcPr>
          <w:p>
            <w:pPr>
              <w:pStyle w:val="TableContents"/>
              <w:bidi w:val="0"/>
              <w:spacing w:before="0" w:after="283"/>
              <w:jc w:val="right"/>
              <w:rPr/>
            </w:pPr>
            <w:r>
              <w:rPr/>
              <w:t>128,896</w:t>
            </w:r>
          </w:p>
        </w:tc>
        <w:tc>
          <w:tcPr>
            <w:tcW w:w="11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Impairment loss on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537,830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537,830</w:t>
            </w:r>
          </w:p>
        </w:tc>
        <w:tc>
          <w:tcPr>
            <w:tcW w:w="11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Total Deferred tax asset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15,990,459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FFFFFF" w:val="clear"/>
            <w:tcMar>
              <w:bottom w:w="28" w:type="dxa"/>
            </w:tcMar>
            <w:vAlign w:val="center"/>
          </w:tcPr>
          <w:p>
            <w:pPr>
              <w:pStyle w:val="TableContents"/>
              <w:bidi w:val="0"/>
              <w:spacing w:before="0" w:after="283"/>
              <w:jc w:val="right"/>
              <w:rPr/>
            </w:pPr>
            <w:r>
              <w:rPr/>
              <w:t>15,774,044</w:t>
            </w:r>
          </w:p>
        </w:tc>
        <w:tc>
          <w:tcPr>
            <w:tcW w:w="11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(15,990,459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8" w:type="dxa"/>
            <w:tcBorders>
              <w:bottom w:val="single" w:sz="12" w:space="0" w:color="000000"/>
            </w:tcBorders>
            <w:shd w:fill="CCEEFF" w:val="clear"/>
            <w:tcMar>
              <w:bottom w:w="28" w:type="dxa"/>
            </w:tcMar>
            <w:vAlign w:val="center"/>
          </w:tcPr>
          <w:p>
            <w:pPr>
              <w:pStyle w:val="TableContents"/>
              <w:bidi w:val="0"/>
              <w:spacing w:before="0" w:after="283"/>
              <w:jc w:val="right"/>
              <w:rPr/>
            </w:pPr>
            <w:r>
              <w:rPr/>
              <w:t>(15,774,044</w:t>
            </w:r>
          </w:p>
        </w:tc>
        <w:tc>
          <w:tcPr>
            <w:tcW w:w="110" w:type="dxa"/>
            <w:tcBorders/>
            <w:shd w:fill="CCEEFF" w:val="clear"/>
            <w:vAlign w:val="center"/>
          </w:tcPr>
          <w:p>
            <w:pPr>
              <w:pStyle w:val="TableContents"/>
              <w:bidi w:val="0"/>
              <w:spacing w:before="0" w:after="283"/>
              <w:jc w:val="left"/>
              <w:rPr/>
            </w:pPr>
            <w:r>
              <w:rPr/>
              <w:t>)</w:t>
            </w:r>
          </w:p>
        </w:tc>
      </w:tr>
      <w:tr>
        <w:trPr/>
        <w:tc>
          <w:tcPr>
            <w:tcW w:w="4340" w:type="dxa"/>
            <w:tcBorders/>
            <w:shd w:fill="FFFFFF" w:val="clear"/>
            <w:vAlign w:val="center"/>
          </w:tcPr>
          <w:p>
            <w:pPr>
              <w:pStyle w:val="TableContents"/>
              <w:bidi w:val="0"/>
              <w:spacing w:before="0" w:after="283"/>
              <w:jc w:val="left"/>
              <w:rPr/>
            </w:pPr>
            <w:r>
              <w:rPr/>
              <w:t>Deferred tax asset, net of valuation allowance</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18"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INCOME TAXES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valuation allowance are as follows:</w:t>
      </w:r>
    </w:p>
    <w:p>
      <w:pPr>
        <w:pStyle w:val="TextBody"/>
        <w:bidi w:val="0"/>
        <w:spacing w:before="0" w:after="0"/>
        <w:ind w:left="0" w:right="0" w:firstLine="360"/>
        <w:jc w:val="both"/>
        <w:rPr>
          <w:caps w:val="false"/>
          <w:smallCaps w:val="false"/>
        </w:rPr>
      </w:pPr>
      <w:r>
        <w:rPr>
          <w:caps w:val="false"/>
          <w:smallCaps w:val="false"/>
        </w:rPr>
        <w:t> </w:t>
      </w:r>
    </w:p>
    <w:tbl>
      <w:tblPr>
        <w:tblW w:w="7547" w:type="dxa"/>
        <w:jc w:val="left"/>
        <w:tblInd w:w="0" w:type="dxa"/>
        <w:tblLayout w:type="fixed"/>
        <w:tblCellMar>
          <w:top w:w="0" w:type="dxa"/>
          <w:left w:w="0" w:type="dxa"/>
          <w:bottom w:w="0" w:type="dxa"/>
          <w:right w:w="0" w:type="dxa"/>
        </w:tblCellMar>
      </w:tblPr>
      <w:tblGrid>
        <w:gridCol w:w="2645"/>
        <w:gridCol w:w="60"/>
        <w:gridCol w:w="165"/>
        <w:gridCol w:w="1309"/>
        <w:gridCol w:w="95"/>
        <w:gridCol w:w="60"/>
        <w:gridCol w:w="165"/>
        <w:gridCol w:w="1309"/>
        <w:gridCol w:w="95"/>
        <w:gridCol w:w="60"/>
        <w:gridCol w:w="76"/>
        <w:gridCol w:w="1398"/>
        <w:gridCol w:w="110"/>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2023</w:t>
            </w:r>
          </w:p>
        </w:tc>
        <w:tc>
          <w:tcPr>
            <w:tcW w:w="110"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Balance as of January 1</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15,774,044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309" w:type="dxa"/>
            <w:tcBorders/>
            <w:shd w:fill="CCEEFF" w:val="clear"/>
            <w:vAlign w:val="center"/>
          </w:tcPr>
          <w:p>
            <w:pPr>
              <w:pStyle w:val="TableContents"/>
              <w:bidi w:val="0"/>
              <w:spacing w:before="0" w:after="283"/>
              <w:jc w:val="right"/>
              <w:rPr/>
            </w:pPr>
            <w:r>
              <w:rPr/>
              <w:t>17,407,156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398" w:type="dxa"/>
            <w:tcBorders/>
            <w:shd w:fill="CCEEFF" w:val="clear"/>
            <w:vAlign w:val="center"/>
          </w:tcPr>
          <w:p>
            <w:pPr>
              <w:pStyle w:val="TableContents"/>
              <w:bidi w:val="0"/>
              <w:spacing w:before="0" w:after="283"/>
              <w:jc w:val="right"/>
              <w:rPr/>
            </w:pPr>
            <w:r>
              <w:rPr/>
              <w:t>15,705,088</w:t>
            </w:r>
          </w:p>
        </w:tc>
        <w:tc>
          <w:tcPr>
            <w:tcW w:w="11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Additions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223,918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309" w:type="dxa"/>
            <w:tcBorders/>
            <w:shd w:fill="FFFFFF" w:val="clear"/>
            <w:vAlign w:val="center"/>
          </w:tcPr>
          <w:p>
            <w:pPr>
              <w:pStyle w:val="TableContents"/>
              <w:bidi w:val="0"/>
              <w:spacing w:before="0" w:after="283"/>
              <w:jc w:val="right"/>
              <w:rPr/>
            </w:pPr>
            <w:r>
              <w:rPr/>
              <w:t>702,123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398" w:type="dxa"/>
            <w:tcBorders/>
            <w:shd w:fill="FFFFFF" w:val="clear"/>
            <w:vAlign w:val="center"/>
          </w:tcPr>
          <w:p>
            <w:pPr>
              <w:pStyle w:val="TableContents"/>
              <w:bidi w:val="0"/>
              <w:spacing w:before="0" w:after="283"/>
              <w:jc w:val="right"/>
              <w:rPr/>
            </w:pPr>
            <w:r>
              <w:rPr/>
              <w:t>1,705,603</w:t>
            </w:r>
          </w:p>
        </w:tc>
        <w:tc>
          <w:tcPr>
            <w:tcW w:w="11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Disposal</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(7,503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9" w:type="dxa"/>
            <w:tcBorders>
              <w:bottom w:val="single" w:sz="12" w:space="0" w:color="000000"/>
            </w:tcBorders>
            <w:shd w:fill="CCEEFF" w:val="clear"/>
            <w:tcMar>
              <w:bottom w:w="28" w:type="dxa"/>
            </w:tcMar>
            <w:vAlign w:val="center"/>
          </w:tcPr>
          <w:p>
            <w:pPr>
              <w:pStyle w:val="TableContents"/>
              <w:bidi w:val="0"/>
              <w:spacing w:before="0" w:after="283"/>
              <w:jc w:val="right"/>
              <w:rPr/>
            </w:pPr>
            <w:r>
              <w:rPr/>
              <w:t>(2,335,235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98" w:type="dxa"/>
            <w:tcBorders>
              <w:bottom w:val="single" w:sz="12" w:space="0" w:color="000000"/>
            </w:tcBorders>
            <w:shd w:fill="CCEEFF" w:val="clear"/>
            <w:tcMar>
              <w:bottom w:w="28" w:type="dxa"/>
            </w:tcMar>
            <w:vAlign w:val="center"/>
          </w:tcPr>
          <w:p>
            <w:pPr>
              <w:pStyle w:val="TableContents"/>
              <w:bidi w:val="0"/>
              <w:spacing w:before="0" w:after="283"/>
              <w:jc w:val="right"/>
              <w:rPr/>
            </w:pPr>
            <w:r>
              <w:rPr/>
              <w:t>(3,535</w:t>
            </w:r>
          </w:p>
        </w:tc>
        <w:tc>
          <w:tcPr>
            <w:tcW w:w="110" w:type="dxa"/>
            <w:tcBorders/>
            <w:shd w:fill="CCEEFF" w:val="clear"/>
            <w:vAlign w:val="center"/>
          </w:tcPr>
          <w:p>
            <w:pPr>
              <w:pStyle w:val="TableContents"/>
              <w:bidi w:val="0"/>
              <w:spacing w:before="0" w:after="283"/>
              <w:jc w:val="left"/>
              <w:rPr/>
            </w:pPr>
            <w:r>
              <w:rPr/>
              <w:t>)</w:t>
            </w:r>
          </w:p>
        </w:tc>
      </w:tr>
      <w:tr>
        <w:trPr/>
        <w:tc>
          <w:tcPr>
            <w:tcW w:w="2645" w:type="dxa"/>
            <w:tcBorders/>
            <w:shd w:fill="FFFFFF" w:val="clear"/>
            <w:vAlign w:val="center"/>
          </w:tcPr>
          <w:p>
            <w:pPr>
              <w:pStyle w:val="TableContents"/>
              <w:bidi w:val="0"/>
              <w:spacing w:before="0" w:after="283"/>
              <w:jc w:val="left"/>
              <w:rPr/>
            </w:pPr>
            <w:r>
              <w:rPr/>
              <w:t>Balance as of December 31</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15,990,459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9" w:type="dxa"/>
            <w:tcBorders>
              <w:bottom w:val="double" w:sz="10" w:space="0" w:color="000000"/>
            </w:tcBorders>
            <w:shd w:fill="FFFFFF" w:val="clear"/>
            <w:tcMar>
              <w:bottom w:w="28" w:type="dxa"/>
            </w:tcMar>
            <w:vAlign w:val="center"/>
          </w:tcPr>
          <w:p>
            <w:pPr>
              <w:pStyle w:val="TableContents"/>
              <w:bidi w:val="0"/>
              <w:spacing w:before="0" w:after="283"/>
              <w:jc w:val="right"/>
              <w:rPr/>
            </w:pPr>
            <w:r>
              <w:rPr/>
              <w:t>15,774,044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8" w:type="dxa"/>
            <w:tcBorders>
              <w:bottom w:val="double" w:sz="10" w:space="0" w:color="000000"/>
            </w:tcBorders>
            <w:shd w:fill="FFFFFF" w:val="clear"/>
            <w:tcMar>
              <w:bottom w:w="28" w:type="dxa"/>
            </w:tcMar>
            <w:vAlign w:val="center"/>
          </w:tcPr>
          <w:p>
            <w:pPr>
              <w:pStyle w:val="TableContents"/>
              <w:bidi w:val="0"/>
              <w:spacing w:before="0" w:after="283"/>
              <w:jc w:val="right"/>
              <w:rPr/>
            </w:pPr>
            <w:r>
              <w:rPr/>
              <w:t>17,407,156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each uncertain tax position (including the potential application of interest and penalties) based on the technical merits, and measure the unrecognized benefits associated with the tax positions. As of December 31, 2025 and 2024, the Group did not have any unrecognized uncertain tax positions. For the years ended December 31, 2025, 2024 and 2023, the Company did not incur any interest and penalties related to potential underpaid income tax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RELATED PARTY BALANCES AND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list of a director and related parties to which the Group has transactions with: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Ian Huen, the Chief Executive Officer and Executive Director of the Group since November 2023. He was a Non-executive Director from June 2022 to November 2023. Before June 2022, he was the Chief Executive Officer and Executive Director;</w:t>
            </w:r>
          </w:p>
        </w:tc>
      </w:tr>
    </w:tbl>
    <w:p>
      <w:pPr>
        <w:pStyle w:val="TextBody"/>
        <w:bidi w:val="0"/>
        <w:spacing w:before="0" w:after="0"/>
        <w:ind w:left="960" w:right="0" w:hanging="480"/>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29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765" w:type="dxa"/>
            <w:tcBorders/>
            <w:vAlign w:val="center"/>
          </w:tcPr>
          <w:p>
            <w:pPr>
              <w:pStyle w:val="TableContents"/>
              <w:bidi w:val="0"/>
              <w:spacing w:before="0" w:after="283"/>
              <w:jc w:val="both"/>
              <w:rPr/>
            </w:pPr>
            <w:r>
              <w:rPr/>
              <w:t>Jurchen Investment Corporation, the holding company and an entity controlled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(c)</w:t>
            </w:r>
          </w:p>
        </w:tc>
        <w:tc>
          <w:tcPr>
            <w:tcW w:w="9893" w:type="dxa"/>
            <w:tcBorders/>
            <w:vAlign w:val="center"/>
          </w:tcPr>
          <w:p>
            <w:pPr>
              <w:pStyle w:val="TableContents"/>
              <w:bidi w:val="0"/>
              <w:spacing w:before="0" w:after="283"/>
              <w:jc w:val="both"/>
              <w:rPr/>
            </w:pPr>
            <w:r>
              <w:rPr/>
              <w:t>CGY Investment Limited, an entity owns more than 10% voting interest of the Group before April 2024;</w:t>
            </w:r>
          </w:p>
        </w:tc>
      </w:tr>
    </w:tbl>
    <w:p>
      <w:pPr>
        <w:pStyle w:val="TextBody"/>
        <w:bidi w:val="0"/>
        <w:spacing w:before="0" w:after="0"/>
        <w:ind w:left="960" w:right="0" w:hanging="480"/>
        <w:jc w:val="both"/>
        <w:rPr>
          <w:caps w:val="false"/>
          <w:smallCaps w:val="false"/>
        </w:rPr>
      </w:pPr>
      <w:r>
        <w:rPr>
          <w:caps w:val="false"/>
          <w:smallCaps w:val="false"/>
        </w:rPr>
        <w:t> </w:t>
      </w:r>
    </w:p>
    <w:tbl>
      <w:tblPr>
        <w:tblW w:w="5778" w:type="dxa"/>
        <w:jc w:val="left"/>
        <w:tblInd w:w="0" w:type="dxa"/>
        <w:tblLayout w:type="fixed"/>
        <w:tblCellMar>
          <w:top w:w="0" w:type="dxa"/>
          <w:left w:w="0" w:type="dxa"/>
          <w:bottom w:w="0" w:type="dxa"/>
          <w:right w:w="0" w:type="dxa"/>
        </w:tblCellMar>
      </w:tblPr>
      <w:tblGrid>
        <w:gridCol w:w="38"/>
        <w:gridCol w:w="29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5450" w:type="dxa"/>
            <w:tcBorders/>
            <w:vAlign w:val="center"/>
          </w:tcPr>
          <w:p>
            <w:pPr>
              <w:pStyle w:val="TableContents"/>
              <w:bidi w:val="0"/>
              <w:spacing w:before="0" w:after="283"/>
              <w:jc w:val="both"/>
              <w:rPr/>
            </w:pPr>
            <w:r>
              <w:rPr/>
              <w:t>Aeneas Group Limited, an entity controlled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275"/>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7760" w:type="dxa"/>
            <w:tcBorders/>
            <w:vAlign w:val="center"/>
          </w:tcPr>
          <w:p>
            <w:pPr>
              <w:pStyle w:val="TableContents"/>
              <w:bidi w:val="0"/>
              <w:spacing w:before="0" w:after="283"/>
              <w:jc w:val="both"/>
              <w:rPr/>
            </w:pPr>
            <w:r>
              <w:rPr/>
              <w:t>Aenco Technologies Ltd, an entity being 34.56% effectively owned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6348" w:type="dxa"/>
        <w:jc w:val="left"/>
        <w:tblInd w:w="0" w:type="dxa"/>
        <w:tblLayout w:type="fixed"/>
        <w:tblCellMar>
          <w:top w:w="0" w:type="dxa"/>
          <w:left w:w="0" w:type="dxa"/>
          <w:bottom w:w="0" w:type="dxa"/>
          <w:right w:w="0" w:type="dxa"/>
        </w:tblCellMar>
      </w:tblPr>
      <w:tblGrid>
        <w:gridCol w:w="38"/>
        <w:gridCol w:w="245"/>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6065" w:type="dxa"/>
            <w:tcBorders/>
            <w:vAlign w:val="center"/>
          </w:tcPr>
          <w:p>
            <w:pPr>
              <w:pStyle w:val="TableContents"/>
              <w:bidi w:val="0"/>
              <w:spacing w:before="0" w:after="283"/>
              <w:jc w:val="both"/>
              <w:rPr/>
            </w:pPr>
            <w:r>
              <w:rPr/>
              <w:t>Aeneas Management Limited, an entity controlled by Ian Huen;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(g)</w:t>
            </w:r>
          </w:p>
        </w:tc>
        <w:tc>
          <w:tcPr>
            <w:tcW w:w="9926" w:type="dxa"/>
            <w:tcBorders/>
            <w:vAlign w:val="center"/>
          </w:tcPr>
          <w:p>
            <w:pPr>
              <w:pStyle w:val="TableContents"/>
              <w:bidi w:val="0"/>
              <w:spacing w:before="0" w:after="283"/>
              <w:jc w:val="both"/>
              <w:rPr/>
            </w:pPr>
            <w:r>
              <w:rPr/>
              <w:t>Libra Sciences Limited, an entity which was originally a wholly owned subsidiary of ATL. Since December 30, 2021, Libra has been turned into a related party to the Group due to the voting power owned by ATL is decreased to below 50% but more than 20%. (Note 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Amounts due from related parties,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consisted of the following as of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3080"/>
        <w:gridCol w:w="60"/>
        <w:gridCol w:w="203"/>
        <w:gridCol w:w="1271"/>
        <w:gridCol w:w="95"/>
        <w:gridCol w:w="60"/>
        <w:gridCol w:w="203"/>
        <w:gridCol w:w="1271"/>
        <w:gridCol w:w="110"/>
      </w:tblGrid>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Libra Sciences Limited (Note b)</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522,192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522,192</w:t>
            </w:r>
          </w:p>
        </w:tc>
        <w:tc>
          <w:tcPr>
            <w:tcW w:w="11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Allowance for credit loss</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(522,192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71" w:type="dxa"/>
            <w:tcBorders>
              <w:bottom w:val="single" w:sz="12" w:space="0" w:color="000000"/>
            </w:tcBorders>
            <w:shd w:fill="FFFFFF" w:val="clear"/>
            <w:tcMar>
              <w:bottom w:w="28" w:type="dxa"/>
            </w:tcMar>
            <w:vAlign w:val="center"/>
          </w:tcPr>
          <w:p>
            <w:pPr>
              <w:pStyle w:val="TableContents"/>
              <w:bidi w:val="0"/>
              <w:spacing w:before="0" w:after="283"/>
              <w:jc w:val="right"/>
              <w:rPr/>
            </w:pPr>
            <w:r>
              <w:rPr/>
              <w:t>(522,192</w:t>
            </w:r>
          </w:p>
        </w:tc>
        <w:tc>
          <w:tcPr>
            <w:tcW w:w="110" w:type="dxa"/>
            <w:tcBorders/>
            <w:shd w:fill="FFFFFF" w:val="clear"/>
            <w:vAlign w:val="center"/>
          </w:tcPr>
          <w:p>
            <w:pPr>
              <w:pStyle w:val="TableContents"/>
              <w:bidi w:val="0"/>
              <w:spacing w:before="0" w:after="283"/>
              <w:jc w:val="left"/>
              <w:rPr/>
            </w:pPr>
            <w:r>
              <w:rPr/>
              <w:t>)</w:t>
            </w:r>
          </w:p>
        </w:tc>
      </w:tr>
      <w:tr>
        <w:trPr/>
        <w:tc>
          <w:tcPr>
            <w:tcW w:w="308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Amounts due to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consisted of the following as of December 31, 2025 and 2024:</w:t>
      </w:r>
    </w:p>
    <w:p>
      <w:pPr>
        <w:pStyle w:val="TextBody"/>
        <w:bidi w:val="0"/>
        <w:spacing w:before="0" w:after="0"/>
        <w:ind w:left="0" w:right="0" w:firstLine="360"/>
        <w:jc w:val="both"/>
        <w:rPr>
          <w:caps w:val="false"/>
          <w:smallCaps w:val="false"/>
        </w:rPr>
      </w:pPr>
      <w:r>
        <w:rPr>
          <w:caps w:val="false"/>
          <w:smallCaps w:val="false"/>
        </w:rPr>
        <w:t> </w:t>
      </w:r>
    </w:p>
    <w:tbl>
      <w:tblPr>
        <w:tblW w:w="7243" w:type="dxa"/>
        <w:jc w:val="left"/>
        <w:tblInd w:w="0" w:type="dxa"/>
        <w:tblLayout w:type="fixed"/>
        <w:tblCellMar>
          <w:top w:w="0" w:type="dxa"/>
          <w:left w:w="0" w:type="dxa"/>
          <w:bottom w:w="0" w:type="dxa"/>
          <w:right w:w="0" w:type="dxa"/>
        </w:tblCellMar>
      </w:tblPr>
      <w:tblGrid>
        <w:gridCol w:w="4040"/>
        <w:gridCol w:w="60"/>
        <w:gridCol w:w="183"/>
        <w:gridCol w:w="1291"/>
        <w:gridCol w:w="60"/>
        <w:gridCol w:w="60"/>
        <w:gridCol w:w="183"/>
        <w:gridCol w:w="1291"/>
        <w:gridCol w:w="75"/>
      </w:tblGrid>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both"/>
              <w:rPr>
                <w:b/>
              </w:rPr>
            </w:pPr>
            <w:r>
              <w:rPr>
                <w:b/>
              </w:rPr>
              <w:t>Current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Aeneas Group Limited (Note a)</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79,180</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Ian Huen</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FFFFFF" w:val="clear"/>
            <w:tcMar>
              <w:bottom w:w="28" w:type="dxa"/>
            </w:tcMar>
            <w:vAlign w:val="center"/>
          </w:tcPr>
          <w:p>
            <w:pPr>
              <w:pStyle w:val="TableContents"/>
              <w:bidi w:val="0"/>
              <w:spacing w:before="0" w:after="283"/>
              <w:jc w:val="right"/>
              <w:rPr/>
            </w:pPr>
            <w:r>
              <w:rPr/>
              <w:t>464</w:t>
            </w:r>
          </w:p>
        </w:tc>
        <w:tc>
          <w:tcPr>
            <w:tcW w:w="7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291" w:type="dxa"/>
            <w:tcBorders/>
            <w:shd w:fill="CCEEFF" w:val="clear"/>
            <w:vAlign w:val="center"/>
          </w:tcPr>
          <w:p>
            <w:pPr>
              <w:pStyle w:val="TableContents"/>
              <w:bidi w:val="0"/>
              <w:spacing w:before="0" w:after="283"/>
              <w:jc w:val="right"/>
              <w:rPr/>
            </w:pPr>
            <w:r>
              <w:rPr/>
              <w:t>79,644</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b/>
              </w:rPr>
            </w:pPr>
            <w:r>
              <w:rPr>
                <w:b/>
              </w:rPr>
              <w:t>Convertible notes to a related party</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Jurchen Investment Corporation (Note 15)</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3,418,500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1" w:type="dxa"/>
            <w:tcBorders>
              <w:bottom w:val="single" w:sz="12" w:space="0" w:color="000000"/>
            </w:tcBorders>
            <w:shd w:fill="CCEEFF" w:val="clear"/>
            <w:tcMar>
              <w:bottom w:w="28" w:type="dxa"/>
            </w:tcMar>
            <w:vAlign w:val="center"/>
          </w:tcPr>
          <w:p>
            <w:pPr>
              <w:pStyle w:val="TableContents"/>
              <w:bidi w:val="0"/>
              <w:spacing w:before="0" w:after="283"/>
              <w:jc w:val="right"/>
              <w:rPr/>
            </w:pPr>
            <w:r>
              <w:rPr/>
              <w:t>3,238,500</w:t>
            </w:r>
          </w:p>
        </w:tc>
        <w:tc>
          <w:tcPr>
            <w:tcW w:w="75"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3,418,500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291" w:type="dxa"/>
            <w:tcBorders>
              <w:bottom w:val="double" w:sz="10" w:space="0" w:color="000000"/>
            </w:tcBorders>
            <w:shd w:fill="FFFFFF" w:val="clear"/>
            <w:tcMar>
              <w:bottom w:w="28" w:type="dxa"/>
            </w:tcMar>
            <w:vAlign w:val="center"/>
          </w:tcPr>
          <w:p>
            <w:pPr>
              <w:pStyle w:val="TableContents"/>
              <w:bidi w:val="0"/>
              <w:spacing w:before="0" w:after="283"/>
              <w:jc w:val="right"/>
              <w:rPr/>
            </w:pPr>
            <w:r>
              <w:rPr/>
              <w:t>3,238,500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consisted of the following for the years ended December 31, 2025, 2024 and 2023:</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44"/>
        <w:gridCol w:w="60"/>
        <w:gridCol w:w="214"/>
        <w:gridCol w:w="1235"/>
        <w:gridCol w:w="60"/>
        <w:gridCol w:w="60"/>
        <w:gridCol w:w="214"/>
        <w:gridCol w:w="1235"/>
        <w:gridCol w:w="60"/>
        <w:gridCol w:w="60"/>
        <w:gridCol w:w="180"/>
        <w:gridCol w:w="1270"/>
        <w:gridCol w:w="113"/>
      </w:tblGrid>
      <w:tr>
        <w:trPr/>
        <w:tc>
          <w:tcPr>
            <w:tcW w:w="5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3" w:type="dxa"/>
            <w:tcBorders/>
            <w:vAlign w:val="center"/>
          </w:tcPr>
          <w:p>
            <w:pPr>
              <w:pStyle w:val="TableContents"/>
              <w:bidi w:val="0"/>
              <w:spacing w:before="0" w:after="283"/>
              <w:jc w:val="left"/>
              <w:rPr/>
            </w:pPr>
            <w:r>
              <w:rPr/>
              <w:t> </w:t>
            </w:r>
          </w:p>
        </w:tc>
      </w:tr>
      <w:tr>
        <w:trPr/>
        <w:tc>
          <w:tcPr>
            <w:tcW w:w="5444" w:type="dxa"/>
            <w:tcBorders/>
            <w:vAlign w:val="center"/>
          </w:tcPr>
          <w:p>
            <w:pPr>
              <w:pStyle w:val="TableContents"/>
              <w:bidi w:val="0"/>
              <w:spacing w:before="0" w:after="283"/>
              <w:jc w:val="left"/>
              <w:rPr/>
            </w:pPr>
            <w:r>
              <w:rPr/>
              <w:t>Loan from related parties (Note a)</w:t>
            </w:r>
          </w:p>
        </w:tc>
        <w:tc>
          <w:tcPr>
            <w:tcW w:w="6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Aeneas Group Limited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2,500,000</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Issuance of Convertible Note to related parties (Note 15)</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Jurchen Investment Corporation</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3,000,000</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Settlement of loan from a related party through issuance of Convertible Note (Note 15)</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Aeneas Group Limited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3,000,000</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Interest expenses (Note a and Note 15)</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Aeneas Group Limited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71,123</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Jurchen Investment Corporation</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180,000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58,500</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Aenco Technologies Ltd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(13,234</w:t>
            </w:r>
          </w:p>
        </w:tc>
        <w:tc>
          <w:tcPr>
            <w:tcW w:w="113" w:type="dxa"/>
            <w:tcBorders/>
            <w:shd w:fill="FFFFFF" w:val="clear"/>
            <w:vAlign w:val="center"/>
          </w:tcPr>
          <w:p>
            <w:pPr>
              <w:pStyle w:val="TableContents"/>
              <w:bidi w:val="0"/>
              <w:spacing w:before="0" w:after="283"/>
              <w:jc w:val="left"/>
              <w:rPr/>
            </w:pPr>
            <w:r>
              <w:rPr/>
              <w:t>)</w:t>
            </w:r>
          </w:p>
        </w:tc>
      </w:tr>
      <w:tr>
        <w:trPr/>
        <w:tc>
          <w:tcPr>
            <w:tcW w:w="54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Loan to related parties (Note b)</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 </w:t>
            </w:r>
            <w:r>
              <w:rPr/>
              <w:t>Libra Sciences Limited</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1270" w:type="dxa"/>
            <w:tcBorders/>
            <w:shd w:fill="CCEEFF" w:val="clear"/>
            <w:vAlign w:val="center"/>
          </w:tcPr>
          <w:p>
            <w:pPr>
              <w:pStyle w:val="TableContents"/>
              <w:bidi w:val="0"/>
              <w:spacing w:before="0" w:after="283"/>
              <w:jc w:val="right"/>
              <w:rPr/>
            </w:pPr>
            <w:r>
              <w:rPr/>
              <w:t>92,459</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27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5444" w:type="dxa"/>
            <w:tcBorders/>
            <w:shd w:fill="CCEEFF" w:val="clear"/>
            <w:vAlign w:val="center"/>
          </w:tcPr>
          <w:p>
            <w:pPr>
              <w:pStyle w:val="TableContents"/>
              <w:bidi w:val="0"/>
              <w:spacing w:before="0" w:after="283"/>
              <w:jc w:val="left"/>
              <w:rPr/>
            </w:pPr>
            <w:r>
              <w:rPr/>
              <w:t>Loan repayment and interest received from a related party (Note b)</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5444" w:type="dxa"/>
            <w:tcBorders/>
            <w:shd w:fill="FFFFFF" w:val="clear"/>
            <w:vAlign w:val="center"/>
          </w:tcPr>
          <w:p>
            <w:pPr>
              <w:pStyle w:val="TableContents"/>
              <w:bidi w:val="0"/>
              <w:spacing w:before="0" w:after="283"/>
              <w:jc w:val="left"/>
              <w:rPr/>
            </w:pPr>
            <w:r>
              <w:rPr/>
              <w:t>– </w:t>
            </w:r>
            <w:r>
              <w:rPr/>
              <w:t>Talem Medical Group Limited</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w:t>
            </w:r>
          </w:p>
        </w:tc>
        <w:tc>
          <w:tcPr>
            <w:tcW w:w="1270" w:type="dxa"/>
            <w:tcBorders/>
            <w:shd w:fill="FFFFFF" w:val="clear"/>
            <w:vAlign w:val="center"/>
          </w:tcPr>
          <w:p>
            <w:pPr>
              <w:pStyle w:val="TableContents"/>
              <w:bidi w:val="0"/>
              <w:spacing w:before="0" w:after="283"/>
              <w:jc w:val="right"/>
              <w:rPr/>
            </w:pPr>
            <w:r>
              <w:rPr/>
              <w:t>611,641</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67"/>
        <w:gridCol w:w="60"/>
        <w:gridCol w:w="508"/>
        <w:gridCol w:w="945"/>
        <w:gridCol w:w="60"/>
        <w:gridCol w:w="60"/>
        <w:gridCol w:w="508"/>
        <w:gridCol w:w="945"/>
        <w:gridCol w:w="60"/>
        <w:gridCol w:w="60"/>
        <w:gridCol w:w="215"/>
        <w:gridCol w:w="1238"/>
        <w:gridCol w:w="79"/>
      </w:tblGrid>
      <w:tr>
        <w:trPr/>
        <w:tc>
          <w:tcPr>
            <w:tcW w:w="54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79" w:type="dxa"/>
            <w:tcBorders/>
            <w:vAlign w:val="center"/>
          </w:tcPr>
          <w:p>
            <w:pPr>
              <w:pStyle w:val="TableContents"/>
              <w:bidi w:val="0"/>
              <w:spacing w:before="0" w:after="283"/>
              <w:jc w:val="left"/>
              <w:rPr/>
            </w:pPr>
            <w:r>
              <w:rPr/>
              <w:t> </w:t>
            </w:r>
          </w:p>
        </w:tc>
      </w:tr>
      <w:tr>
        <w:trPr/>
        <w:tc>
          <w:tcPr>
            <w:tcW w:w="5467" w:type="dxa"/>
            <w:tcBorders/>
            <w:vAlign w:val="center"/>
          </w:tcPr>
          <w:p>
            <w:pPr>
              <w:pStyle w:val="TableContents"/>
              <w:bidi w:val="0"/>
              <w:spacing w:before="0" w:after="283"/>
              <w:jc w:val="left"/>
              <w:rPr/>
            </w:pPr>
            <w:r>
              <w:rPr/>
              <w:t>Interest income (Note b)</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r>
              <w:rPr/>
              <w:t>Talem Medical Group Limited</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4,637</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r>
              <w:rPr/>
              <w:t>Libra Sciences Limited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8,963</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Consultant, secondment, management and administrative services fees (Note c)</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r>
              <w:rPr/>
              <w:t>CGY Investments Limited</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153,640</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r>
              <w:rPr/>
              <w:t>ACC Medical Limited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138,768</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Administrative management services (Note 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 </w:t>
            </w:r>
            <w:r>
              <w:rPr/>
              <w:t>Libra Sciences Limited</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w:t>
            </w:r>
          </w:p>
        </w:tc>
        <w:tc>
          <w:tcPr>
            <w:tcW w:w="94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9,615</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r>
      <w:tr>
        <w:trPr/>
        <w:tc>
          <w:tcPr>
            <w:tcW w:w="5467" w:type="dxa"/>
            <w:tcBorders/>
            <w:shd w:fill="CCEEFF" w:val="clear"/>
            <w:vAlign w:val="center"/>
          </w:tcPr>
          <w:p>
            <w:pPr>
              <w:pStyle w:val="TableContents"/>
              <w:bidi w:val="0"/>
              <w:spacing w:before="0" w:after="283"/>
              <w:jc w:val="left"/>
              <w:rPr/>
            </w:pPr>
            <w:r>
              <w:rPr/>
              <w:t>Healthcare services income</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8"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p>
        </w:tc>
      </w:tr>
      <w:tr>
        <w:trPr/>
        <w:tc>
          <w:tcPr>
            <w:tcW w:w="5467" w:type="dxa"/>
            <w:tcBorders/>
            <w:shd w:fill="FFFFFF" w:val="clear"/>
            <w:vAlign w:val="center"/>
          </w:tcPr>
          <w:p>
            <w:pPr>
              <w:pStyle w:val="TableContents"/>
              <w:bidi w:val="0"/>
              <w:spacing w:before="0" w:after="283"/>
              <w:jc w:val="left"/>
              <w:rPr/>
            </w:pPr>
            <w:r>
              <w:rPr/>
              <w:t>– </w:t>
            </w:r>
            <w:r>
              <w:rPr/>
              <w:t>Aeneas Management Limited</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8" w:type="dxa"/>
            <w:tcBorders/>
            <w:shd w:fill="FFFFFF" w:val="clear"/>
            <w:vAlign w:val="center"/>
          </w:tcPr>
          <w:p>
            <w:pPr>
              <w:pStyle w:val="TableContents"/>
              <w:bidi w:val="0"/>
              <w:spacing w:before="0" w:after="283"/>
              <w:jc w:val="left"/>
              <w:rPr/>
            </w:pPr>
            <w:r>
              <w:rPr/>
              <w:t>$</w:t>
            </w:r>
          </w:p>
        </w:tc>
        <w:tc>
          <w:tcPr>
            <w:tcW w:w="94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1238" w:type="dxa"/>
            <w:tcBorders/>
            <w:shd w:fill="FFFFFF" w:val="clear"/>
            <w:vAlign w:val="center"/>
          </w:tcPr>
          <w:p>
            <w:pPr>
              <w:pStyle w:val="TableContents"/>
              <w:bidi w:val="0"/>
              <w:spacing w:before="0" w:after="283"/>
              <w:jc w:val="right"/>
              <w:rPr/>
            </w:pPr>
            <w:r>
              <w:rPr/>
              <w:t>961</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 extended for another 6 months to the second extended maturity date. As of the date of the issuance of this consolidated financial statements, there is no outstanding balance from the Borrower following a repayment in February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VARIABLE INTEREST ENTITY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 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Mios was dissolved and ceased operation and it was deemed disposed by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VARIABLE INTEREST ENTITY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year ended December 31, 2025 and 2024, there is no consolidated VIE and Libra is the only unconsolidated VIE. The unconsolidated asset and liability of VIE Libra is $61,873 and $691,253 respectively for both year ended December 31, 2025 and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 Since Libra is in net liability position and the investment amount by the group in Libra as well as the amount due from Libra was fully impaired in 2024, and there is no obligation for further financing commitment or obligation for absorbing loss, the maximum exposure to loss from its involvement with Libra is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08"/>
        <w:gridCol w:w="60"/>
        <w:gridCol w:w="247"/>
        <w:gridCol w:w="1207"/>
        <w:gridCol w:w="215"/>
        <w:gridCol w:w="60"/>
        <w:gridCol w:w="215"/>
        <w:gridCol w:w="1240"/>
        <w:gridCol w:w="215"/>
        <w:gridCol w:w="60"/>
        <w:gridCol w:w="93"/>
        <w:gridCol w:w="1251"/>
        <w:gridCol w:w="234"/>
      </w:tblGrid>
      <w:tr>
        <w:trPr/>
        <w:tc>
          <w:tcPr>
            <w:tcW w:w="5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2023</w:t>
            </w:r>
          </w:p>
        </w:tc>
        <w:tc>
          <w:tcPr>
            <w:tcW w:w="234" w:type="dxa"/>
            <w:tcBorders/>
            <w:vAlign w:val="center"/>
          </w:tcPr>
          <w:p>
            <w:pPr>
              <w:pStyle w:val="TableContents"/>
              <w:bidi w:val="0"/>
              <w:spacing w:before="0" w:after="283"/>
              <w:jc w:val="left"/>
              <w:rPr/>
            </w:pPr>
            <w:r>
              <w:rPr/>
              <w:t> </w:t>
            </w:r>
          </w:p>
        </w:tc>
      </w:tr>
      <w:tr>
        <w:trPr/>
        <w:tc>
          <w:tcPr>
            <w:tcW w:w="5108" w:type="dxa"/>
            <w:tcBorders/>
            <w:vAlign w:val="center"/>
          </w:tcPr>
          <w:p>
            <w:pPr>
              <w:pStyle w:val="TableContents"/>
              <w:bidi w:val="0"/>
              <w:spacing w:before="0" w:after="283"/>
              <w:jc w:val="left"/>
              <w:rPr/>
            </w:pPr>
            <w:r>
              <w:rPr/>
              <w:t>Lease cost</w:t>
            </w:r>
          </w:p>
        </w:tc>
        <w:tc>
          <w:tcPr>
            <w:tcW w:w="60" w:type="dxa"/>
            <w:tcBorders/>
            <w:vAlign w:val="center"/>
          </w:tcPr>
          <w:p>
            <w:pPr>
              <w:pStyle w:val="TableContents"/>
              <w:bidi w:val="0"/>
              <w:spacing w:before="0" w:after="283"/>
              <w:jc w:val="left"/>
              <w:rPr/>
            </w:pPr>
            <w:r>
              <w:rPr/>
              <w:t> </w:t>
            </w:r>
          </w:p>
        </w:tc>
        <w:tc>
          <w:tcPr>
            <w:tcW w:w="1454"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5"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50,520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252,345</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0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0" w:type="dxa"/>
            <w:tcBorders>
              <w:bottom w:val="single" w:sz="12" w:space="0" w:color="000000"/>
            </w:tcBorders>
            <w:shd w:fill="FFFFFF" w:val="clear"/>
            <w:tcMar>
              <w:bottom w:w="28" w:type="dxa"/>
            </w:tcMar>
            <w:vAlign w:val="center"/>
          </w:tcPr>
          <w:p>
            <w:pPr>
              <w:pStyle w:val="TableContents"/>
              <w:bidi w:val="0"/>
              <w:spacing w:before="0" w:after="283"/>
              <w:jc w:val="right"/>
              <w:rPr/>
            </w:pPr>
            <w:r>
              <w:rPr/>
              <w:t>3,374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1" w:type="dxa"/>
            <w:tcBorders>
              <w:bottom w:val="single" w:sz="12" w:space="0" w:color="000000"/>
            </w:tcBorders>
            <w:shd w:fill="FFFFFF" w:val="clear"/>
            <w:tcMar>
              <w:bottom w:w="28" w:type="dxa"/>
            </w:tcMar>
            <w:vAlign w:val="center"/>
          </w:tcPr>
          <w:p>
            <w:pPr>
              <w:pStyle w:val="TableContents"/>
              <w:bidi w:val="0"/>
              <w:spacing w:before="0" w:after="283"/>
              <w:jc w:val="right"/>
              <w:rPr/>
            </w:pPr>
            <w:r>
              <w:rPr/>
              <w:t>65,221</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0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0" w:type="dxa"/>
            <w:tcBorders>
              <w:bottom w:val="double" w:sz="10" w:space="0" w:color="000000"/>
            </w:tcBorders>
            <w:shd w:fill="CCEEFF" w:val="clear"/>
            <w:tcMar>
              <w:bottom w:w="28" w:type="dxa"/>
            </w:tcMar>
            <w:vAlign w:val="center"/>
          </w:tcPr>
          <w:p>
            <w:pPr>
              <w:pStyle w:val="TableContents"/>
              <w:bidi w:val="0"/>
              <w:spacing w:before="0" w:after="283"/>
              <w:jc w:val="right"/>
              <w:rPr/>
            </w:pPr>
            <w:r>
              <w:rPr/>
              <w:t>53,894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1" w:type="dxa"/>
            <w:tcBorders>
              <w:bottom w:val="double" w:sz="10" w:space="0" w:color="000000"/>
            </w:tcBorders>
            <w:shd w:fill="CCEEFF" w:val="clear"/>
            <w:tcMar>
              <w:bottom w:w="28" w:type="dxa"/>
            </w:tcMar>
            <w:vAlign w:val="center"/>
          </w:tcPr>
          <w:p>
            <w:pPr>
              <w:pStyle w:val="TableContents"/>
              <w:bidi w:val="0"/>
              <w:spacing w:before="0" w:after="283"/>
              <w:jc w:val="right"/>
              <w:rPr/>
            </w:pPr>
            <w:r>
              <w:rPr/>
              <w:t>317,566</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Other information</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Cash paid for amounts included in the measurement of lease liabilities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Operating cash flows from operating leases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98,448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240" w:type="dxa"/>
            <w:tcBorders/>
            <w:shd w:fill="CCEEFF" w:val="clear"/>
            <w:vAlign w:val="center"/>
          </w:tcPr>
          <w:p>
            <w:pPr>
              <w:pStyle w:val="TableContents"/>
              <w:bidi w:val="0"/>
              <w:spacing w:before="0" w:after="283"/>
              <w:jc w:val="right"/>
              <w:rPr/>
            </w:pPr>
            <w:r>
              <w:rPr/>
              <w:t>120,824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389,365</w:t>
            </w:r>
          </w:p>
        </w:tc>
        <w:tc>
          <w:tcPr>
            <w:tcW w:w="234" w:type="dxa"/>
            <w:tcBorders/>
            <w:shd w:fill="CCEEFF" w:val="clear"/>
            <w:vAlign w:val="center"/>
          </w:tcPr>
          <w:p>
            <w:pPr>
              <w:pStyle w:val="TableContents"/>
              <w:bidi w:val="0"/>
              <w:spacing w:before="0" w:after="283"/>
              <w:jc w:val="left"/>
              <w:rPr/>
            </w:pPr>
            <w:r>
              <w:rPr/>
              <w:t> </w:t>
            </w:r>
          </w:p>
        </w:tc>
      </w:tr>
      <w:tr>
        <w:trPr/>
        <w:tc>
          <w:tcPr>
            <w:tcW w:w="5108" w:type="dxa"/>
            <w:tcBorders/>
            <w:shd w:fill="FFFFFF" w:val="clear"/>
            <w:vAlign w:val="center"/>
          </w:tcPr>
          <w:p>
            <w:pPr>
              <w:pStyle w:val="TableContents"/>
              <w:bidi w:val="0"/>
              <w:spacing w:before="0" w:after="283"/>
              <w:jc w:val="left"/>
              <w:rPr/>
            </w:pPr>
            <w:r>
              <w:rPr/>
              <w:t>Weighted-average remaining lease term – operating leases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 years</w:t>
            </w:r>
          </w:p>
        </w:tc>
        <w:tc>
          <w:tcPr>
            <w:tcW w:w="234" w:type="dxa"/>
            <w:tcBorders/>
            <w:shd w:fill="FFFFFF" w:val="clear"/>
            <w:vAlign w:val="center"/>
          </w:tcPr>
          <w:p>
            <w:pPr>
              <w:pStyle w:val="TableContents"/>
              <w:bidi w:val="0"/>
              <w:spacing w:before="0" w:after="283"/>
              <w:jc w:val="left"/>
              <w:rPr/>
            </w:pPr>
            <w:r>
              <w:rPr/>
              <w:t> </w:t>
            </w:r>
          </w:p>
        </w:tc>
      </w:tr>
      <w:tr>
        <w:trPr/>
        <w:tc>
          <w:tcPr>
            <w:tcW w:w="5108" w:type="dxa"/>
            <w:tcBorders/>
            <w:shd w:fill="CCEEFF" w:val="clear"/>
            <w:vAlign w:val="center"/>
          </w:tcPr>
          <w:p>
            <w:pPr>
              <w:pStyle w:val="TableContents"/>
              <w:bidi w:val="0"/>
              <w:spacing w:before="0" w:after="283"/>
              <w:jc w:val="left"/>
              <w:rPr/>
            </w:pPr>
            <w:r>
              <w:rPr/>
              <w:t>Weighted-average discount rate – finance leases</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24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jc w:val="left"/>
              <w:rPr/>
            </w:pPr>
            <w:r>
              <w:rPr/>
              <w:t>%</w:t>
            </w:r>
          </w:p>
        </w:tc>
      </w:tr>
      <w:tr>
        <w:trPr/>
        <w:tc>
          <w:tcPr>
            <w:tcW w:w="5108" w:type="dxa"/>
            <w:tcBorders/>
            <w:shd w:fill="FFFFFF" w:val="clear"/>
            <w:vAlign w:val="center"/>
          </w:tcPr>
          <w:p>
            <w:pPr>
              <w:pStyle w:val="TableContents"/>
              <w:bidi w:val="0"/>
              <w:spacing w:before="0" w:after="283"/>
              <w:jc w:val="left"/>
              <w:rPr/>
            </w:pPr>
            <w:r>
              <w:rPr/>
              <w:t>Weighted-average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right"/>
              <w:rPr/>
            </w:pPr>
            <w:r>
              <w:rPr/>
              <w:t>8.0</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the Group did not recognize any impairment losses and loss on disposal of right-of-use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 impairment loss of $144,051 on right-of-use assets was recognized in other operating expenses as the Group considered that the carrying amount of a right-of-use asset related to a lease of laboratory may not be recoverable.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LEASE</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analysis of operating leases liabilities as of December 31, 2025 is as follows:</w:t>
      </w:r>
    </w:p>
    <w:p>
      <w:pPr>
        <w:pStyle w:val="TextBody"/>
        <w:bidi w:val="0"/>
        <w:spacing w:before="0" w:after="0"/>
        <w:ind w:left="0" w:right="0" w:firstLine="360"/>
        <w:jc w:val="both"/>
        <w:rPr>
          <w:caps w:val="false"/>
          <w:smallCaps w:val="false"/>
        </w:rPr>
      </w:pPr>
      <w:r>
        <w:rPr>
          <w:caps w:val="false"/>
          <w:smallCaps w:val="false"/>
        </w:rPr>
        <w:t> </w:t>
      </w:r>
    </w:p>
    <w:tbl>
      <w:tblPr>
        <w:tblW w:w="5759" w:type="dxa"/>
        <w:jc w:val="left"/>
        <w:tblInd w:w="0" w:type="dxa"/>
        <w:tblLayout w:type="fixed"/>
        <w:tblCellMar>
          <w:top w:w="0" w:type="dxa"/>
          <w:left w:w="0" w:type="dxa"/>
          <w:bottom w:w="0" w:type="dxa"/>
          <w:right w:w="0" w:type="dxa"/>
        </w:tblCellMar>
      </w:tblPr>
      <w:tblGrid>
        <w:gridCol w:w="4115"/>
        <w:gridCol w:w="60"/>
        <w:gridCol w:w="118"/>
        <w:gridCol w:w="1356"/>
        <w:gridCol w:w="11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Remaining periods ending December 31,</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24,573</w:t>
            </w:r>
          </w:p>
        </w:tc>
        <w:tc>
          <w:tcPr>
            <w:tcW w:w="11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Total future undiscounted cash flow</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24,573</w:t>
            </w:r>
          </w:p>
        </w:tc>
        <w:tc>
          <w:tcPr>
            <w:tcW w:w="11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Less: Discount on operating lease liabilities</w:t>
            </w:r>
          </w:p>
        </w:tc>
        <w:tc>
          <w:tcPr>
            <w:tcW w:w="60" w:type="dxa"/>
            <w:tcBorders/>
            <w:shd w:fill="CCEEFF" w:val="clear"/>
            <w:vAlign w:val="center"/>
          </w:tcPr>
          <w:p>
            <w:pPr>
              <w:pStyle w:val="TableContents"/>
              <w:bidi w:val="0"/>
              <w:spacing w:before="0" w:after="283"/>
              <w:jc w:val="left"/>
              <w:rPr/>
            </w:pPr>
            <w:r>
              <w:rPr/>
              <w:t> </w:t>
            </w:r>
          </w:p>
        </w:tc>
        <w:tc>
          <w:tcPr>
            <w:tcW w:w="11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6" w:type="dxa"/>
            <w:tcBorders>
              <w:bottom w:val="single" w:sz="12" w:space="0" w:color="000000"/>
            </w:tcBorders>
            <w:shd w:fill="CCEEFF" w:val="clear"/>
            <w:tcMar>
              <w:bottom w:w="28" w:type="dxa"/>
            </w:tcMar>
            <w:vAlign w:val="center"/>
          </w:tcPr>
          <w:p>
            <w:pPr>
              <w:pStyle w:val="TableContents"/>
              <w:bidi w:val="0"/>
              <w:spacing w:before="0" w:after="283"/>
              <w:jc w:val="right"/>
              <w:rPr/>
            </w:pPr>
            <w:r>
              <w:rPr/>
              <w:t>(145</w:t>
            </w:r>
          </w:p>
        </w:tc>
        <w:tc>
          <w:tcPr>
            <w:tcW w:w="110" w:type="dxa"/>
            <w:tcBorders/>
            <w:shd w:fill="CCEEFF" w:val="clear"/>
            <w:vAlign w:val="center"/>
          </w:tcPr>
          <w:p>
            <w:pPr>
              <w:pStyle w:val="TableContents"/>
              <w:bidi w:val="0"/>
              <w:spacing w:before="0" w:after="283"/>
              <w:jc w:val="left"/>
              <w:rPr/>
            </w:pPr>
            <w:r>
              <w:rPr/>
              <w:t>)</w:t>
            </w:r>
          </w:p>
        </w:tc>
      </w:tr>
      <w:tr>
        <w:trPr/>
        <w:tc>
          <w:tcPr>
            <w:tcW w:w="4115" w:type="dxa"/>
            <w:tcBorders/>
            <w:shd w:fill="FFFFFF" w:val="clear"/>
            <w:vAlign w:val="center"/>
          </w:tcPr>
          <w:p>
            <w:pPr>
              <w:pStyle w:val="TableContents"/>
              <w:bidi w:val="0"/>
              <w:spacing w:before="0" w:after="283"/>
              <w:jc w:val="left"/>
              <w:rPr/>
            </w:pPr>
            <w:r>
              <w:rPr/>
              <w:t>Present value of operating lease liabilities</w:t>
            </w:r>
          </w:p>
        </w:tc>
        <w:tc>
          <w:tcPr>
            <w:tcW w:w="60" w:type="dxa"/>
            <w:tcBorders/>
            <w:shd w:fill="FFFFFF" w:val="clear"/>
            <w:vAlign w:val="center"/>
          </w:tcPr>
          <w:p>
            <w:pPr>
              <w:pStyle w:val="TableContents"/>
              <w:bidi w:val="0"/>
              <w:spacing w:before="0" w:after="283"/>
              <w:jc w:val="left"/>
              <w:rPr/>
            </w:pPr>
            <w:r>
              <w:rPr/>
              <w:t> </w:t>
            </w:r>
          </w:p>
        </w:tc>
        <w:tc>
          <w:tcPr>
            <w:tcW w:w="11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56" w:type="dxa"/>
            <w:tcBorders>
              <w:bottom w:val="double" w:sz="10" w:space="0" w:color="000000"/>
            </w:tcBorders>
            <w:shd w:fill="FFFFFF" w:val="clear"/>
            <w:tcMar>
              <w:bottom w:w="28" w:type="dxa"/>
            </w:tcMar>
            <w:vAlign w:val="center"/>
          </w:tcPr>
          <w:p>
            <w:pPr>
              <w:pStyle w:val="TableContents"/>
              <w:bidi w:val="0"/>
              <w:spacing w:before="0" w:after="283"/>
              <w:jc w:val="right"/>
              <w:rPr/>
            </w:pPr>
            <w:r>
              <w:rPr/>
              <w:t>24,428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CONVERTIBLE 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Group issued 70,430 Class A Ordinary Shares to a majority of the share option holders. This issuance served as an exchange for their share options and facilitated the reversal of deferred cash bonus payables owed to these holders (See Note 10).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Group also issued 65,770 fully vested Class A Ordinary Shares to certain employees and external consultants. The grant date fair value of each of the shares was $2.68 based on grant date quoted market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ORDINARY SHARES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Group issued 1,250,000 Class A Ordinary Shares to convertible note holders upon conversion (See Note 15).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and 2023, the Group issued 427,060 and 791 Class A Ordinary Shares to share option holders as a result of exercise of options,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Group issued 446,842 Class A Ordinary Shares to Class B Ordinary Shares holders upon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$2,000,000 gross proceeds, $996,000 was allocated to the liability-classified Investor Warrants at their fair value (see Note 20), with the residual $1,004,000 allocated to the equity-classified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SHARE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option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2017, the Group adopted the 2017 Share Option Plan (the “Option Plan”) and on November 5, 2021, the Group amended the Option Plan. A total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vest on January 1, 2023 and expire on December 31, 2033; 74,906 options vest on January 1, 2024 and expire on December 31, 2034; 1,866 options vest on June 8, 2022 and expire on June 7, 2033; and 1,493 options vest on July 14, 2022 and expire on July 13,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SHARE BASED COMPENSATION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option activity for the years ended December 31, 2025, 2024 and 2023 changes during the period are presented below:</w:t>
      </w:r>
    </w:p>
    <w:p>
      <w:pPr>
        <w:pStyle w:val="TextBody"/>
        <w:bidi w:val="0"/>
        <w:spacing w:before="0" w:after="0"/>
        <w:ind w:left="0" w:right="0" w:firstLine="360"/>
        <w:jc w:val="both"/>
        <w:rPr>
          <w:caps w:val="false"/>
          <w:smallCaps w:val="false"/>
        </w:rPr>
      </w:pPr>
      <w:r>
        <w:rPr>
          <w:caps w:val="false"/>
          <w:smallCaps w:val="false"/>
        </w:rPr>
        <w:t> </w:t>
      </w:r>
    </w:p>
    <w:tbl>
      <w:tblPr>
        <w:tblW w:w="8216" w:type="dxa"/>
        <w:jc w:val="left"/>
        <w:tblInd w:w="0" w:type="dxa"/>
        <w:tblLayout w:type="fixed"/>
        <w:tblCellMar>
          <w:top w:w="0" w:type="dxa"/>
          <w:left w:w="0" w:type="dxa"/>
          <w:bottom w:w="0" w:type="dxa"/>
          <w:right w:w="0" w:type="dxa"/>
        </w:tblCellMar>
      </w:tblPr>
      <w:tblGrid>
        <w:gridCol w:w="3185"/>
        <w:gridCol w:w="60"/>
        <w:gridCol w:w="61"/>
        <w:gridCol w:w="903"/>
        <w:gridCol w:w="95"/>
        <w:gridCol w:w="60"/>
        <w:gridCol w:w="101"/>
        <w:gridCol w:w="953"/>
        <w:gridCol w:w="60"/>
        <w:gridCol w:w="60"/>
        <w:gridCol w:w="130"/>
        <w:gridCol w:w="1224"/>
        <w:gridCol w:w="60"/>
        <w:gridCol w:w="60"/>
        <w:gridCol w:w="64"/>
        <w:gridCol w:w="1065"/>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Number of </w:t>
              <w:br/>
              <w:t xml:space="preserve">share </w:t>
              <w:br/>
              <w:t>options</w:t>
            </w:r>
            <w:r>
              <w:rPr>
                <w:rFonts w:ascii="Times New Roman;Times;Serif" w:hAnsi="Times New Roman;Times;Serif"/>
                <w:b/>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Remaining </w:t>
              <w:br/>
              <w:t xml:space="preserve">contractual </w:t>
              <w:br/>
              <w:t>term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r>
          </w:p>
        </w:tc>
        <w:tc>
          <w:tcPr>
            <w:tcW w:w="7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Outstanding, January 1,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Outstanding,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Exercisable, December 31, 2025</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Vested, December 31,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122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Outstanding, January 1, 2024</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427,060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3.59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single" w:sz="12" w:space="0" w:color="000000"/>
            </w:tcBorders>
            <w:shd w:fill="CCEEFF" w:val="clear"/>
            <w:tcMar>
              <w:bottom w:w="28" w:type="dxa"/>
            </w:tcMar>
            <w:vAlign w:val="center"/>
          </w:tcPr>
          <w:p>
            <w:pPr>
              <w:pStyle w:val="TableContents"/>
              <w:bidi w:val="0"/>
              <w:spacing w:before="0" w:after="283"/>
              <w:jc w:val="right"/>
              <w:rPr/>
            </w:pPr>
            <w:r>
              <w:rPr/>
              <w:t>(427,060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12" w:space="0" w:color="000000"/>
            </w:tcBorders>
            <w:shd w:fill="CCEEFF" w:val="clear"/>
            <w:tcMar>
              <w:bottom w:w="28" w:type="dxa"/>
            </w:tcMar>
            <w:vAlign w:val="center"/>
          </w:tcPr>
          <w:p>
            <w:pPr>
              <w:pStyle w:val="TableContents"/>
              <w:bidi w:val="0"/>
              <w:spacing w:before="0" w:after="283"/>
              <w:jc w:val="right"/>
              <w:rPr/>
            </w:pPr>
            <w:r>
              <w:rPr/>
              <w:t>1.49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1,436,963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Outstanding, December 31, 2024</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Exercisable,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12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Outstanding, January 1,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272,126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21.54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10.83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403,820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(791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20.90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Modified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(248,095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21.74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Outstanding, December 31, 2023</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CCEEFF" w:val="clear"/>
            <w:tcMar>
              <w:bottom w:w="28" w:type="dxa"/>
            </w:tcMar>
            <w:vAlign w:val="center"/>
          </w:tcPr>
          <w:p>
            <w:pPr>
              <w:pStyle w:val="TableContents"/>
              <w:bidi w:val="0"/>
              <w:spacing w:before="0" w:after="283"/>
              <w:jc w:val="right"/>
              <w:rPr/>
            </w:pPr>
            <w:r>
              <w:rPr/>
              <w:t>427,060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CCEEFF" w:val="clear"/>
            <w:tcMar>
              <w:bottom w:w="28" w:type="dxa"/>
            </w:tcMar>
            <w:vAlign w:val="center"/>
          </w:tcPr>
          <w:p>
            <w:pPr>
              <w:pStyle w:val="TableContents"/>
              <w:bidi w:val="0"/>
              <w:spacing w:before="0" w:after="283"/>
              <w:jc w:val="right"/>
              <w:rPr/>
            </w:pPr>
            <w:r>
              <w:rPr/>
              <w:t>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left"/>
              <w:rPr/>
            </w:pPr>
            <w:r>
              <w:rPr/>
              <w:t>Exercisable, December 31, 2023</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3" w:type="dxa"/>
            <w:tcBorders>
              <w:bottom w:val="double" w:sz="10" w:space="0" w:color="000000"/>
            </w:tcBorders>
            <w:shd w:fill="FFFFFF" w:val="clear"/>
            <w:tcMar>
              <w:bottom w:w="28" w:type="dxa"/>
            </w:tcMar>
            <w:vAlign w:val="center"/>
          </w:tcPr>
          <w:p>
            <w:pPr>
              <w:pStyle w:val="TableContents"/>
              <w:bidi w:val="0"/>
              <w:spacing w:before="0" w:after="283"/>
              <w:jc w:val="right"/>
              <w:rPr/>
            </w:pPr>
            <w:r>
              <w:rPr/>
              <w:t>420,157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double" w:sz="10" w:space="0" w:color="000000"/>
            </w:tcBorders>
            <w:shd w:fill="FFFFFF" w:val="clear"/>
            <w:tcMar>
              <w:bottom w:w="28" w:type="dxa"/>
            </w:tcMar>
            <w:vAlign w:val="center"/>
          </w:tcPr>
          <w:p>
            <w:pPr>
              <w:pStyle w:val="TableContents"/>
              <w:bidi w:val="0"/>
              <w:spacing w:before="0" w:after="283"/>
              <w:jc w:val="right"/>
              <w:rPr/>
            </w:pPr>
            <w:r>
              <w:rPr/>
              <w:t>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24" w:type="dxa"/>
            <w:tcBorders>
              <w:bottom w:val="double" w:sz="10" w:space="0" w:color="000000"/>
            </w:tcBorders>
            <w:shd w:fill="FFFFFF" w:val="clear"/>
            <w:tcMar>
              <w:bottom w:w="28" w:type="dxa"/>
            </w:tcMar>
            <w:vAlign w:val="center"/>
          </w:tcPr>
          <w:p>
            <w:pPr>
              <w:pStyle w:val="TableContents"/>
              <w:bidi w:val="0"/>
              <w:spacing w:before="0" w:after="283"/>
              <w:jc w:val="right"/>
              <w:rPr/>
            </w:pPr>
            <w:r>
              <w:rPr/>
              <w:t>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06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480" w:right="0" w:hanging="48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both"/>
              <w:rPr/>
            </w:pPr>
            <w:r>
              <w:rPr/>
              <w:t>All per share amounts and shares outstanding for all periods have been retroactively restated to reflect APTORUM GROUP LIMITED’s 1 for 10 reverse stock split, which was effective on January 23, 2023.</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each stock option award is estimated on the date of grant using the Black-Scholes option pricing model under the following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SHARE BASED COMPENSATION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Placement agent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 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NON-CONTROLLING INTEREST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Group acquired 10,000 Class A Ordinary Shares and 5,850,000 Class B Ordinary Shares of Scipio, achieving control over the entity. As a result of this acquisition, Scipio is no longer classified as a VIE under the Group and it became a subsidiary under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NET LOSS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 per share:</w:t>
      </w:r>
    </w:p>
    <w:p>
      <w:pPr>
        <w:pStyle w:val="TextBody"/>
        <w:bidi w:val="0"/>
        <w:spacing w:before="0" w:after="0"/>
        <w:ind w:left="0" w:right="0" w:firstLine="360"/>
        <w:jc w:val="both"/>
        <w:rPr>
          <w:caps w:val="false"/>
          <w:smallCaps w:val="false"/>
        </w:rPr>
      </w:pPr>
      <w:r>
        <w:rPr>
          <w:caps w:val="false"/>
          <w:smallCaps w:val="false"/>
        </w:rPr>
        <w:t> </w:t>
      </w:r>
    </w:p>
    <w:tbl>
      <w:tblPr>
        <w:tblW w:w="10097" w:type="dxa"/>
        <w:jc w:val="left"/>
        <w:tblInd w:w="0" w:type="dxa"/>
        <w:tblLayout w:type="fixed"/>
        <w:tblCellMar>
          <w:top w:w="0" w:type="dxa"/>
          <w:left w:w="0" w:type="dxa"/>
          <w:bottom w:w="0" w:type="dxa"/>
          <w:right w:w="0" w:type="dxa"/>
        </w:tblCellMar>
      </w:tblPr>
      <w:tblGrid>
        <w:gridCol w:w="5195"/>
        <w:gridCol w:w="60"/>
        <w:gridCol w:w="171"/>
        <w:gridCol w:w="1303"/>
        <w:gridCol w:w="95"/>
        <w:gridCol w:w="60"/>
        <w:gridCol w:w="171"/>
        <w:gridCol w:w="1303"/>
        <w:gridCol w:w="95"/>
        <w:gridCol w:w="60"/>
        <w:gridCol w:w="79"/>
        <w:gridCol w:w="1395"/>
        <w:gridCol w:w="110"/>
      </w:tblGrid>
      <w:tr>
        <w:trPr/>
        <w:tc>
          <w:tcPr>
            <w:tcW w:w="5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2023</w:t>
            </w:r>
          </w:p>
        </w:tc>
        <w:tc>
          <w:tcPr>
            <w:tcW w:w="110" w:type="dxa"/>
            <w:tcBorders/>
            <w:vAlign w:val="center"/>
          </w:tcPr>
          <w:p>
            <w:pPr>
              <w:pStyle w:val="TableContents"/>
              <w:bidi w:val="0"/>
              <w:spacing w:before="0" w:after="283"/>
              <w:jc w:val="left"/>
              <w:rPr/>
            </w:pPr>
            <w:r>
              <w:rPr/>
              <w:t> </w:t>
            </w:r>
          </w:p>
        </w:tc>
      </w:tr>
      <w:tr>
        <w:trPr/>
        <w:tc>
          <w:tcPr>
            <w:tcW w:w="5195" w:type="dxa"/>
            <w:tcBorders/>
            <w:vAlign w:val="center"/>
          </w:tcPr>
          <w:p>
            <w:pPr>
              <w:pStyle w:val="TableContents"/>
              <w:bidi w:val="0"/>
              <w:spacing w:before="0" w:after="283"/>
              <w:jc w:val="left"/>
              <w:rPr/>
            </w:pPr>
            <w:r>
              <w:rPr/>
              <w:t>Numerator:</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Net loss attributable to Aptorum Group Limited</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(4,267,806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(2,824,647</w:t>
            </w:r>
          </w:p>
        </w:tc>
        <w:tc>
          <w:tcPr>
            <w:tcW w:w="110" w:type="dxa"/>
            <w:tcBorders/>
            <w:shd w:fill="CCEEFF" w:val="clear"/>
            <w:vAlign w:val="center"/>
          </w:tcPr>
          <w:p>
            <w:pPr>
              <w:pStyle w:val="TableContents"/>
              <w:bidi w:val="0"/>
              <w:spacing w:before="0" w:after="283"/>
              <w:jc w:val="left"/>
              <w:rPr/>
            </w:pPr>
            <w:r>
              <w:rPr/>
              <w:t>)</w:t>
            </w:r>
          </w:p>
        </w:tc>
      </w:tr>
      <w:tr>
        <w:trPr/>
        <w:tc>
          <w:tcPr>
            <w:tcW w:w="5195"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pPr>
            <w:r>
              <w:rPr/>
              <w:t>Basic and diluted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3" w:type="dxa"/>
            <w:tcBorders>
              <w:bottom w:val="double" w:sz="10" w:space="0" w:color="000000"/>
            </w:tcBorders>
            <w:shd w:fill="CCEEFF" w:val="clear"/>
            <w:tcMar>
              <w:bottom w:w="28" w:type="dxa"/>
            </w:tcMar>
            <w:vAlign w:val="center"/>
          </w:tcPr>
          <w:p>
            <w:pPr>
              <w:pStyle w:val="TableContents"/>
              <w:bidi w:val="0"/>
              <w:spacing w:before="0" w:after="283"/>
              <w:jc w:val="right"/>
              <w:rPr/>
            </w:pPr>
            <w:r>
              <w:rPr/>
              <w:t>5,453,103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pPr>
            <w:r>
              <w:rPr/>
              <w:t>4,521,133</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13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 per share attributable to Aptorum Group Limited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3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283"/>
              <w:jc w:val="left"/>
              <w:rPr/>
            </w:pPr>
            <w:r>
              <w:rPr/>
              <w:t>Basic and diluted loss per share</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303" w:type="dxa"/>
            <w:tcBorders>
              <w:bottom w:val="double" w:sz="10" w:space="0" w:color="000000"/>
            </w:tcBorders>
            <w:shd w:fill="FFFFFF" w:val="clear"/>
            <w:tcMar>
              <w:bottom w:w="28" w:type="dxa"/>
            </w:tcMar>
            <w:vAlign w:val="center"/>
          </w:tcPr>
          <w:p>
            <w:pPr>
              <w:pStyle w:val="TableContents"/>
              <w:bidi w:val="0"/>
              <w:spacing w:before="0" w:after="283"/>
              <w:jc w:val="right"/>
              <w:rPr/>
            </w:pPr>
            <w:r>
              <w:rPr/>
              <w:t>(0.78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FFFFFF" w:val="clear"/>
            <w:tcMar>
              <w:bottom w:w="28" w:type="dxa"/>
            </w:tcMar>
            <w:vAlign w:val="center"/>
          </w:tcPr>
          <w:p>
            <w:pPr>
              <w:pStyle w:val="TableContents"/>
              <w:bidi w:val="0"/>
              <w:spacing w:before="0" w:after="283"/>
              <w:jc w:val="right"/>
              <w:rPr/>
            </w:pPr>
            <w:r>
              <w:rPr/>
              <w:t>(0.62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2025 Offering (see Note 16), the Company issued Investor Warrants to purchase 2,000,000 Class A ordinary shares and Placement Agent Warrants to purchase 60,180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WARRANTS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Investor Warrants was determined using a binomial option pricing model with the following inputs:</w:t>
      </w:r>
    </w:p>
    <w:p>
      <w:pPr>
        <w:pStyle w:val="TextBody"/>
        <w:bidi w:val="0"/>
        <w:spacing w:before="0" w:after="0"/>
        <w:ind w:left="0" w:right="0" w:firstLine="360"/>
        <w:jc w:val="both"/>
        <w:rPr>
          <w:caps w:val="false"/>
          <w:smallCaps w:val="false"/>
        </w:rPr>
      </w:pPr>
      <w:r>
        <w:rPr>
          <w:caps w:val="false"/>
          <w:smallCaps w:val="false"/>
        </w:rPr>
        <w:t> </w:t>
      </w:r>
    </w:p>
    <w:tbl>
      <w:tblPr>
        <w:tblW w:w="5198" w:type="dxa"/>
        <w:jc w:val="left"/>
        <w:tblInd w:w="0" w:type="dxa"/>
        <w:tblLayout w:type="fixed"/>
        <w:tblCellMar>
          <w:top w:w="0" w:type="dxa"/>
          <w:left w:w="0" w:type="dxa"/>
          <w:bottom w:w="0" w:type="dxa"/>
          <w:right w:w="0" w:type="dxa"/>
        </w:tblCellMar>
      </w:tblPr>
      <w:tblGrid>
        <w:gridCol w:w="1895"/>
        <w:gridCol w:w="60"/>
        <w:gridCol w:w="201"/>
        <w:gridCol w:w="1063"/>
        <w:gridCol w:w="215"/>
        <w:gridCol w:w="60"/>
        <w:gridCol w:w="294"/>
        <w:gridCol w:w="1180"/>
        <w:gridCol w:w="23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October 14,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23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063" w:type="dxa"/>
            <w:tcBorders/>
            <w:shd w:fill="CCEEFF" w:val="clear"/>
            <w:vAlign w:val="center"/>
          </w:tcPr>
          <w:p>
            <w:pPr>
              <w:pStyle w:val="TableContents"/>
              <w:bidi w:val="0"/>
              <w:spacing w:before="0" w:after="283"/>
              <w:jc w:val="right"/>
              <w:rPr/>
            </w:pPr>
            <w:r>
              <w:rPr/>
              <w:t>1.59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1.06</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Exercise price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063" w:type="dxa"/>
            <w:tcBorders/>
            <w:shd w:fill="FFFFFF" w:val="clear"/>
            <w:vAlign w:val="center"/>
          </w:tcPr>
          <w:p>
            <w:pPr>
              <w:pStyle w:val="TableContents"/>
              <w:bidi w:val="0"/>
              <w:spacing w:before="0" w:after="283"/>
              <w:jc w:val="right"/>
              <w:rPr/>
            </w:pPr>
            <w:r>
              <w:rPr/>
              <w:t>2.00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2.00</w:t>
            </w:r>
          </w:p>
        </w:tc>
        <w:tc>
          <w:tcPr>
            <w:tcW w:w="230" w:type="dxa"/>
            <w:tcBorders/>
            <w:shd w:fill="FFFFFF" w:val="cle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283"/>
              <w:jc w:val="left"/>
              <w:rPr/>
            </w:pPr>
            <w:r>
              <w:rPr/>
              <w:t>Expected term</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 years</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Risk-free rate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3.49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3.48</w:t>
            </w:r>
          </w:p>
        </w:tc>
        <w:tc>
          <w:tcPr>
            <w:tcW w:w="23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58.80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58.10</w:t>
            </w:r>
          </w:p>
        </w:tc>
        <w:tc>
          <w:tcPr>
            <w:tcW w:w="230" w:type="dxa"/>
            <w:tcBorders/>
            <w:shd w:fill="CCEEFF" w:val="clear"/>
            <w:vAlign w:val="center"/>
          </w:tcPr>
          <w:p>
            <w:pPr>
              <w:pStyle w:val="TableContents"/>
              <w:bidi w:val="0"/>
              <w:spacing w:before="0" w:after="283"/>
              <w:jc w:val="left"/>
              <w:rPr/>
            </w:pPr>
            <w:r>
              <w:rPr/>
              <w:t>%</w:t>
            </w:r>
          </w:p>
        </w:tc>
      </w:tr>
      <w:tr>
        <w:trPr/>
        <w:tc>
          <w:tcPr>
            <w:tcW w:w="1895" w:type="dxa"/>
            <w:tcBorders/>
            <w:shd w:fill="FFFFFF" w:val="clear"/>
            <w:vAlign w:val="center"/>
          </w:tcPr>
          <w:p>
            <w:pPr>
              <w:pStyle w:val="TableContents"/>
              <w:bidi w:val="0"/>
              <w:spacing w:before="0" w:after="283"/>
              <w:jc w:val="left"/>
              <w:rPr/>
            </w:pPr>
            <w:r>
              <w:rPr/>
              <w:t>Dividend rate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63" w:type="dxa"/>
            <w:tcBorders/>
            <w:shd w:fill="FFFFFF" w:val="clear"/>
            <w:vAlign w:val="center"/>
          </w:tcPr>
          <w:p>
            <w:pPr>
              <w:pStyle w:val="TableContents"/>
              <w:bidi w:val="0"/>
              <w:spacing w:before="0" w:after="283"/>
              <w:jc w:val="right"/>
              <w:rPr/>
            </w:pPr>
            <w:r>
              <w:rPr/>
              <w:t>0.00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180" w:type="dxa"/>
            <w:tcBorders/>
            <w:shd w:fill="FFFFFF" w:val="clear"/>
            <w:vAlign w:val="center"/>
          </w:tcPr>
          <w:p>
            <w:pPr>
              <w:pStyle w:val="TableContents"/>
              <w:bidi w:val="0"/>
              <w:spacing w:before="0" w:after="283"/>
              <w:jc w:val="right"/>
              <w:rPr/>
            </w:pPr>
            <w:r>
              <w:rPr/>
              <w:t>0.00</w:t>
            </w:r>
          </w:p>
        </w:tc>
        <w:tc>
          <w:tcPr>
            <w:tcW w:w="230" w:type="dxa"/>
            <w:tcBorders/>
            <w:shd w:fill="FFFFFF" w:val="clear"/>
            <w:vAlign w:val="center"/>
          </w:tcPr>
          <w:p>
            <w:pPr>
              <w:pStyle w:val="TableContents"/>
              <w:bidi w:val="0"/>
              <w:spacing w:before="0" w:after="283"/>
              <w:jc w:val="left"/>
              <w:rPr/>
            </w:pPr>
            <w:r>
              <w:rPr/>
              <w:t>%</w:t>
            </w:r>
          </w:p>
        </w:tc>
      </w:tr>
      <w:tr>
        <w:trPr/>
        <w:tc>
          <w:tcPr>
            <w:tcW w:w="1895" w:type="dxa"/>
            <w:tcBorders/>
            <w:shd w:fill="CCEEFF" w:val="clear"/>
            <w:vAlign w:val="center"/>
          </w:tcPr>
          <w:p>
            <w:pPr>
              <w:pStyle w:val="TableContents"/>
              <w:bidi w:val="0"/>
              <w:spacing w:before="0" w:after="283"/>
              <w:jc w:val="left"/>
              <w:rPr/>
            </w:pPr>
            <w:r>
              <w:rPr/>
              <w:t>Dilution factor</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63" w:type="dxa"/>
            <w:tcBorders/>
            <w:shd w:fill="CCEEFF" w:val="clear"/>
            <w:vAlign w:val="center"/>
          </w:tcPr>
          <w:p>
            <w:pPr>
              <w:pStyle w:val="TableContents"/>
              <w:bidi w:val="0"/>
              <w:spacing w:before="0" w:after="283"/>
              <w:jc w:val="right"/>
              <w:rPr/>
            </w:pPr>
            <w:r>
              <w:rPr/>
              <w:t>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180" w:type="dxa"/>
            <w:tcBorders/>
            <w:shd w:fill="CCEEFF" w:val="clear"/>
            <w:vAlign w:val="center"/>
          </w:tcPr>
          <w:p>
            <w:pPr>
              <w:pStyle w:val="TableContents"/>
              <w:bidi w:val="0"/>
              <w:spacing w:before="0" w:after="283"/>
              <w:jc w:val="right"/>
              <w:rPr/>
            </w:pPr>
            <w:r>
              <w:rPr/>
              <w:t>1</w:t>
            </w:r>
          </w:p>
        </w:tc>
        <w:tc>
          <w:tcPr>
            <w:tcW w:w="23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Fair value per share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063" w:type="dxa"/>
            <w:tcBorders/>
            <w:shd w:fill="FFFFFF" w:val="clear"/>
            <w:vAlign w:val="center"/>
          </w:tcPr>
          <w:p>
            <w:pPr>
              <w:pStyle w:val="TableContents"/>
              <w:bidi w:val="0"/>
              <w:spacing w:before="0" w:after="283"/>
              <w:jc w:val="right"/>
              <w:rPr/>
            </w:pPr>
            <w:r>
              <w:rPr/>
              <w:t>0.498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w:t>
            </w:r>
          </w:p>
        </w:tc>
        <w:tc>
          <w:tcPr>
            <w:tcW w:w="1180" w:type="dxa"/>
            <w:tcBorders/>
            <w:shd w:fill="FFFFFF" w:val="clear"/>
            <w:vAlign w:val="center"/>
          </w:tcPr>
          <w:p>
            <w:pPr>
              <w:pStyle w:val="TableContents"/>
              <w:bidi w:val="0"/>
              <w:spacing w:before="0" w:after="283"/>
              <w:jc w:val="right"/>
              <w:rPr/>
            </w:pPr>
            <w:r>
              <w:rPr/>
              <w:t>0.153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are exercisable immediately upon issuance and expire on the earlier of (i) 24 months from the effective date of a registration statement or (ii) October 10, 2030.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 2.5 years. This amount was reclassified from additional paid-in capital to temporary equity on the issuance date. Since the contingent event is not probable to occur, no subsequent remeasurement of the temporary equity amount is required.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2,060,180 warrants outstanding to purchase Class A ordinary shares with a weighted-average exercise price of $2.01 and a weighted-average remaining contractual term of approximately 1.9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Contingent Payment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does not have any non-cancellable purchase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contingency payment obligations under each of the license agreements, such as milestone payments, royalties, research and development funding, if certain condition or milestone is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COMMITMENTS AND CONTINGENCIES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w:t>
      </w:r>
    </w:p>
    <w:p>
      <w:pPr>
        <w:pStyle w:val="TextBody"/>
        <w:bidi w:val="0"/>
        <w:spacing w:before="0" w:after="0"/>
        <w:ind w:left="0" w:right="0" w:firstLine="360"/>
        <w:jc w:val="both"/>
        <w:rPr>
          <w:caps w:val="false"/>
          <w:smallCaps w:val="false"/>
        </w:rPr>
      </w:pPr>
      <w:r>
        <w:rPr>
          <w:caps w:val="false"/>
          <w:smallCaps w:val="false"/>
        </w:rPr>
        <w:t> </w:t>
      </w:r>
    </w:p>
    <w:tbl>
      <w:tblPr>
        <w:tblW w:w="6795" w:type="dxa"/>
        <w:jc w:val="left"/>
        <w:tblInd w:w="0" w:type="dxa"/>
        <w:tblLayout w:type="fixed"/>
        <w:tblCellMar>
          <w:top w:w="0" w:type="dxa"/>
          <w:left w:w="0" w:type="dxa"/>
          <w:bottom w:w="0" w:type="dxa"/>
          <w:right w:w="0" w:type="dxa"/>
        </w:tblCellMar>
      </w:tblPr>
      <w:tblGrid>
        <w:gridCol w:w="5540"/>
        <w:gridCol w:w="60"/>
        <w:gridCol w:w="140"/>
        <w:gridCol w:w="980"/>
        <w:gridCol w:w="75"/>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b/>
              </w:rPr>
            </w:pPr>
            <w:r>
              <w:rPr>
                <w:b/>
              </w:rPr>
              <w:t>Drug molecules: up to the conditions and milestones of</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From entering phase 1 to before first commercial sale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First commercial sale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800,000</w:t>
            </w:r>
          </w:p>
        </w:tc>
        <w:tc>
          <w:tcPr>
            <w:tcW w:w="75"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Net sales amount more than certain threshold in a year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7,000,000</w:t>
            </w:r>
          </w:p>
        </w:tc>
        <w:tc>
          <w:tcPr>
            <w:tcW w:w="75"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Subtotal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8,720,000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 October 6, 2025. The Group continues to believe that Plaintiff’s claims have no merit. As such, the Group will continue to vigorously defend against Plaintiff’s claims. At this time, it is too early to estimate the costs and expenses of defending the lawsuit.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all events and transactions that occur after December 31, 2025, there is no subsequent event occurred that would require recognition or disclosure in the Group’s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$1,396,000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4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Niki BioSolutions,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 Wainwright &amp; Co.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Brookline Capital Markets, a division of Arcadia Securities,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734005/000121390026079416/ea0298262-8k_nikibio.htm" TargetMode="External"/><Relationship Id="rId3" Type="http://schemas.openxmlformats.org/officeDocument/2006/relationships/hyperlink" Target="https://www.sec.gov/ix?doc=/Archives/edgar/data/1734005/000121390026086639/ea0300774-8k_nikibio.htm" TargetMode="External"/><Relationship Id="rId4" Type="http://schemas.openxmlformats.org/officeDocument/2006/relationships/hyperlink" Target="https://www.sec.gov/ix?doc=/Archives/edgar/data/1734005/000121390026092689/ea0301803-8ka1_nikibio.htm" TargetMode="External"/><Relationship Id="rId5" Type="http://schemas.openxmlformats.org/officeDocument/2006/relationships/hyperlink" Target="https://www.sec.gov/ix?doc=/Archives/edgar/data/1734005/000121390026097705/ea0304290-8k_nikibio.htm" TargetMode="External"/><Relationship Id="rId6" Type="http://schemas.openxmlformats.org/officeDocument/2006/relationships/hyperlink" Target="https://www.sec.gov/ix?doc=/Archives/edgar/data/1734005/000121390026099695/ea0305334-8k_nikibio.htm" TargetMode="External"/><Relationship Id="rId7" Type="http://schemas.openxmlformats.org/officeDocument/2006/relationships/hyperlink" Target="https://www.sec.gov/ix?doc=/Archives/edgar/data/1734005/000121390025096656/ea0248625-02.htm" TargetMode="External"/><Relationship Id="rId8" Type="http://schemas.openxmlformats.org/officeDocument/2006/relationships/hyperlink" Target="https://www.sec.gov/ix?doc=/Archives/edgar/data/1734005/000121390025096656/ea0248625-02.htm" TargetMode="External"/><Relationship Id="rId9" Type="http://schemas.openxmlformats.org/officeDocument/2006/relationships/hyperlink" Target="http://www.sec.gov/ix?doc=/Archives/edgar/data/1734005/000121390026079416/ea0298262-8k_nikibio.htm" TargetMode="External"/><Relationship Id="rId10" Type="http://schemas.openxmlformats.org/officeDocument/2006/relationships/hyperlink" Target="http://www.sec.gov/ix?doc=/Archives/edgar/data/1734005/000121390026092661/ea0302544-8k_nikibio.htm" TargetMode="External"/><Relationship Id="rId11" Type="http://schemas.openxmlformats.org/officeDocument/2006/relationships/hyperlink" Target="http://www.sec.gov/ix?doc=/Archives/edgar/data/1734005/000121390026092689/ea0301803-8ka1_nikibio.htm" TargetMode="External"/><Relationship Id="rId12" Type="http://schemas.openxmlformats.org/officeDocument/2006/relationships/hyperlink" Target="https://www.sec.gov/ix?doc=/Archives/edgar/data/1734005/000121390026097705/ea0304290-8k_nikibio.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110785</Words>
  <Characters>604174</Characters>
  <CharactersWithSpaces>717374</CharactersWithSpaces>
  <Paragraphs>10464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